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AC" w:rsidRPr="00304188" w:rsidRDefault="00641FAC" w:rsidP="000E26FD">
      <w:pPr>
        <w:spacing w:after="0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6"/>
        </w:rPr>
      </w:pPr>
      <w:proofErr w:type="gramStart"/>
      <w:r w:rsidRPr="00304188">
        <w:rPr>
          <w:rFonts w:ascii="Times New Roman" w:hAnsi="Times New Roman" w:cs="Times New Roman"/>
          <w:b/>
          <w:color w:val="000000"/>
          <w:sz w:val="24"/>
          <w:szCs w:val="26"/>
        </w:rPr>
        <w:t>Особенности участия субъектов малого и среднего предпринимательства (включая социальные предприятия) в закупках товаров, работ, услуг для государственных и муниципальных нужд в соответствии с ФЗ от 05.04.2013 № 44-ФЗ «О контрактной системе в сфере закупок товаров, работ, услуг для обеспечения государственных и муниципальных нужд» и ФЗ от 18.07.2011 № 223-ФЗ «О закупках товаров, услуг отдельными видами юридических лиц»</w:t>
      </w:r>
      <w:proofErr w:type="gramEnd"/>
    </w:p>
    <w:p w:rsidR="00641FAC" w:rsidRPr="00831FAD" w:rsidRDefault="00641FAC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5389B" w:rsidRPr="00304188" w:rsidRDefault="0065389B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304188">
        <w:rPr>
          <w:rFonts w:ascii="Times New Roman" w:hAnsi="Times New Roman" w:cs="Times New Roman"/>
          <w:sz w:val="25"/>
          <w:szCs w:val="25"/>
        </w:rPr>
        <w:t xml:space="preserve">К </w:t>
      </w:r>
      <w:r w:rsidRPr="00304188">
        <w:rPr>
          <w:rFonts w:ascii="Times New Roman" w:hAnsi="Times New Roman" w:cs="Times New Roman"/>
          <w:b/>
          <w:sz w:val="25"/>
          <w:szCs w:val="25"/>
        </w:rPr>
        <w:t>субъектам малого и среднего предпринимательства</w:t>
      </w:r>
      <w:r w:rsidRPr="00304188">
        <w:rPr>
          <w:rFonts w:ascii="Times New Roman" w:hAnsi="Times New Roman" w:cs="Times New Roman"/>
          <w:sz w:val="25"/>
          <w:szCs w:val="25"/>
        </w:rPr>
        <w:t xml:space="preserve"> (СМСП) в Российской Федерации могут быть отнесены следующие субъекты, при условии, что они соответствуют критериям, установленным в ст. 4 ФЗ от 24.07.2007 № 209-ФЗ «О развитии малого и среднего предпринимательства в РФ»</w:t>
      </w:r>
      <w:r w:rsidR="00B608CF" w:rsidRPr="00304188">
        <w:rPr>
          <w:rFonts w:ascii="Times New Roman" w:hAnsi="Times New Roman" w:cs="Times New Roman"/>
          <w:sz w:val="25"/>
          <w:szCs w:val="25"/>
        </w:rPr>
        <w:t xml:space="preserve"> и сведения о которых внесены в Единый реестр СМСП</w:t>
      </w:r>
      <w:r w:rsidRPr="00304188">
        <w:rPr>
          <w:rFonts w:ascii="Times New Roman" w:hAnsi="Times New Roman" w:cs="Times New Roman"/>
          <w:sz w:val="25"/>
          <w:szCs w:val="25"/>
        </w:rPr>
        <w:t>: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</w:t>
      </w:r>
      <w:proofErr w:type="gramEnd"/>
      <w:r w:rsidRPr="00304188">
        <w:rPr>
          <w:rFonts w:ascii="Times New Roman" w:hAnsi="Times New Roman" w:cs="Times New Roman"/>
          <w:sz w:val="25"/>
          <w:szCs w:val="25"/>
        </w:rPr>
        <w:t xml:space="preserve"> ИП.</w:t>
      </w:r>
    </w:p>
    <w:p w:rsidR="0065389B" w:rsidRPr="00304188" w:rsidRDefault="0065389B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4188">
        <w:rPr>
          <w:rFonts w:ascii="Times New Roman" w:eastAsia="Calibri" w:hAnsi="Times New Roman" w:cs="Times New Roman"/>
          <w:b/>
          <w:sz w:val="25"/>
          <w:szCs w:val="25"/>
        </w:rPr>
        <w:t>Социально ориентированные некоммерческие организации</w:t>
      </w:r>
      <w:r w:rsidRPr="00304188">
        <w:rPr>
          <w:rFonts w:ascii="Times New Roman" w:eastAsia="Calibri" w:hAnsi="Times New Roman" w:cs="Times New Roman"/>
          <w:sz w:val="25"/>
          <w:szCs w:val="25"/>
        </w:rPr>
        <w:t xml:space="preserve"> (СОНКО)</w:t>
      </w:r>
      <w:r w:rsidR="00C826F0" w:rsidRPr="00304188">
        <w:rPr>
          <w:rFonts w:ascii="Times New Roman" w:eastAsia="Calibri" w:hAnsi="Times New Roman" w:cs="Times New Roman"/>
          <w:sz w:val="25"/>
          <w:szCs w:val="25"/>
        </w:rPr>
        <w:t xml:space="preserve"> занимаются, например</w:t>
      </w:r>
      <w:r w:rsidRPr="00304188">
        <w:rPr>
          <w:rFonts w:ascii="Times New Roman" w:eastAsia="Calibri" w:hAnsi="Times New Roman" w:cs="Times New Roman"/>
          <w:sz w:val="25"/>
          <w:szCs w:val="25"/>
        </w:rPr>
        <w:t xml:space="preserve">: </w:t>
      </w:r>
      <w:proofErr w:type="spellStart"/>
      <w:r w:rsidRPr="00304188">
        <w:rPr>
          <w:rFonts w:ascii="Times New Roman" w:eastAsia="Calibri" w:hAnsi="Times New Roman" w:cs="Times New Roman"/>
          <w:sz w:val="25"/>
          <w:szCs w:val="25"/>
        </w:rPr>
        <w:t>соцобслуживание</w:t>
      </w:r>
      <w:r w:rsidR="00C826F0" w:rsidRPr="00304188">
        <w:rPr>
          <w:rFonts w:ascii="Times New Roman" w:eastAsia="Calibri" w:hAnsi="Times New Roman" w:cs="Times New Roman"/>
          <w:sz w:val="25"/>
          <w:szCs w:val="25"/>
        </w:rPr>
        <w:t>м</w:t>
      </w:r>
      <w:proofErr w:type="spellEnd"/>
      <w:r w:rsidR="00C826F0" w:rsidRPr="00304188">
        <w:rPr>
          <w:rFonts w:ascii="Times New Roman" w:eastAsia="Calibri" w:hAnsi="Times New Roman" w:cs="Times New Roman"/>
          <w:sz w:val="25"/>
          <w:szCs w:val="25"/>
        </w:rPr>
        <w:t xml:space="preserve">, </w:t>
      </w:r>
      <w:proofErr w:type="spellStart"/>
      <w:r w:rsidR="00C826F0" w:rsidRPr="00304188">
        <w:rPr>
          <w:rFonts w:ascii="Times New Roman" w:eastAsia="Calibri" w:hAnsi="Times New Roman" w:cs="Times New Roman"/>
          <w:sz w:val="25"/>
          <w:szCs w:val="25"/>
        </w:rPr>
        <w:t>соцподдержкой</w:t>
      </w:r>
      <w:proofErr w:type="spellEnd"/>
      <w:r w:rsidRPr="00304188">
        <w:rPr>
          <w:rFonts w:ascii="Times New Roman" w:eastAsia="Calibri" w:hAnsi="Times New Roman" w:cs="Times New Roman"/>
          <w:sz w:val="25"/>
          <w:szCs w:val="25"/>
        </w:rPr>
        <w:t xml:space="preserve"> и защит</w:t>
      </w:r>
      <w:r w:rsidR="00C826F0" w:rsidRPr="00304188">
        <w:rPr>
          <w:rFonts w:ascii="Times New Roman" w:eastAsia="Calibri" w:hAnsi="Times New Roman" w:cs="Times New Roman"/>
          <w:sz w:val="25"/>
          <w:szCs w:val="25"/>
        </w:rPr>
        <w:t>ой</w:t>
      </w:r>
      <w:r w:rsidRPr="00304188">
        <w:rPr>
          <w:rFonts w:ascii="Times New Roman" w:eastAsia="Calibri" w:hAnsi="Times New Roman" w:cs="Times New Roman"/>
          <w:sz w:val="25"/>
          <w:szCs w:val="25"/>
        </w:rPr>
        <w:t xml:space="preserve"> граждан; помощь</w:t>
      </w:r>
      <w:r w:rsidR="00C826F0" w:rsidRPr="00304188">
        <w:rPr>
          <w:rFonts w:ascii="Times New Roman" w:eastAsia="Calibri" w:hAnsi="Times New Roman" w:cs="Times New Roman"/>
          <w:sz w:val="25"/>
          <w:szCs w:val="25"/>
        </w:rPr>
        <w:t>ю</w:t>
      </w:r>
      <w:r w:rsidRPr="00304188">
        <w:rPr>
          <w:rFonts w:ascii="Times New Roman" w:eastAsia="Calibri" w:hAnsi="Times New Roman" w:cs="Times New Roman"/>
          <w:sz w:val="25"/>
          <w:szCs w:val="25"/>
        </w:rPr>
        <w:t xml:space="preserve"> в преодолении последствий стихийных бедствий; мероприятия</w:t>
      </w:r>
      <w:r w:rsidR="00C826F0" w:rsidRPr="00304188">
        <w:rPr>
          <w:rFonts w:ascii="Times New Roman" w:eastAsia="Calibri" w:hAnsi="Times New Roman" w:cs="Times New Roman"/>
          <w:sz w:val="25"/>
          <w:szCs w:val="25"/>
        </w:rPr>
        <w:t>ми</w:t>
      </w:r>
      <w:r w:rsidRPr="00304188">
        <w:rPr>
          <w:rFonts w:ascii="Times New Roman" w:eastAsia="Calibri" w:hAnsi="Times New Roman" w:cs="Times New Roman"/>
          <w:sz w:val="25"/>
          <w:szCs w:val="25"/>
        </w:rPr>
        <w:t xml:space="preserve"> по профилактике социально опасного поведения;</w:t>
      </w:r>
      <w:r w:rsidR="00C826F0" w:rsidRPr="00304188">
        <w:rPr>
          <w:rFonts w:ascii="Times New Roman" w:eastAsia="Calibri" w:hAnsi="Times New Roman" w:cs="Times New Roman"/>
          <w:sz w:val="25"/>
          <w:szCs w:val="25"/>
        </w:rPr>
        <w:t xml:space="preserve"> охраной</w:t>
      </w:r>
      <w:r w:rsidRPr="00304188">
        <w:rPr>
          <w:rFonts w:ascii="Times New Roman" w:eastAsia="Calibri" w:hAnsi="Times New Roman" w:cs="Times New Roman"/>
          <w:sz w:val="25"/>
          <w:szCs w:val="25"/>
        </w:rPr>
        <w:t xml:space="preserve"> окружающей среды; защит</w:t>
      </w:r>
      <w:r w:rsidR="00C826F0" w:rsidRPr="00304188">
        <w:rPr>
          <w:rFonts w:ascii="Times New Roman" w:eastAsia="Calibri" w:hAnsi="Times New Roman" w:cs="Times New Roman"/>
          <w:sz w:val="25"/>
          <w:szCs w:val="25"/>
        </w:rPr>
        <w:t>ой</w:t>
      </w:r>
      <w:r w:rsidRPr="00304188">
        <w:rPr>
          <w:rFonts w:ascii="Times New Roman" w:eastAsia="Calibri" w:hAnsi="Times New Roman" w:cs="Times New Roman"/>
          <w:sz w:val="25"/>
          <w:szCs w:val="25"/>
        </w:rPr>
        <w:t xml:space="preserve"> животных и др.</w:t>
      </w:r>
      <w:r w:rsidR="00D84637" w:rsidRPr="0030418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04188">
        <w:rPr>
          <w:rFonts w:ascii="Times New Roman" w:eastAsia="Calibri" w:hAnsi="Times New Roman" w:cs="Times New Roman"/>
          <w:sz w:val="25"/>
          <w:szCs w:val="25"/>
        </w:rPr>
        <w:t>Полный перечень приведён в п. 1 ст. 31.1 ФЗ от 12.01.1996 № 7-ФЗ «О некоммерческих организациях».</w:t>
      </w:r>
      <w:r w:rsidR="00D84637" w:rsidRPr="00304188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04188">
        <w:rPr>
          <w:rFonts w:ascii="Times New Roman" w:eastAsia="Calibri" w:hAnsi="Times New Roman" w:cs="Times New Roman"/>
          <w:sz w:val="25"/>
          <w:szCs w:val="25"/>
        </w:rPr>
        <w:t xml:space="preserve">Если организация занимается такой деятельностью, то для отнесения </w:t>
      </w:r>
      <w:r w:rsidR="00D84637" w:rsidRPr="00304188">
        <w:rPr>
          <w:rFonts w:ascii="Times New Roman" w:eastAsia="Calibri" w:hAnsi="Times New Roman" w:cs="Times New Roman"/>
          <w:sz w:val="25"/>
          <w:szCs w:val="25"/>
        </w:rPr>
        <w:t xml:space="preserve">ее </w:t>
      </w:r>
      <w:r w:rsidRPr="00304188">
        <w:rPr>
          <w:rFonts w:ascii="Times New Roman" w:eastAsia="Calibri" w:hAnsi="Times New Roman" w:cs="Times New Roman"/>
          <w:sz w:val="25"/>
          <w:szCs w:val="25"/>
        </w:rPr>
        <w:t>к СОНКО необходимо быть внесенной также в Реестр</w:t>
      </w:r>
      <w:r w:rsidRPr="00304188">
        <w:rPr>
          <w:rFonts w:ascii="Calibri" w:eastAsia="Calibri" w:hAnsi="Calibri" w:cs="Times New Roman"/>
          <w:sz w:val="25"/>
          <w:szCs w:val="25"/>
        </w:rPr>
        <w:t xml:space="preserve"> </w:t>
      </w:r>
      <w:r w:rsidRPr="00304188">
        <w:rPr>
          <w:rFonts w:ascii="Times New Roman" w:eastAsia="Calibri" w:hAnsi="Times New Roman" w:cs="Times New Roman"/>
          <w:sz w:val="25"/>
          <w:szCs w:val="25"/>
        </w:rPr>
        <w:t>СОНКО, сформированный в соответствии с Постановлением Правительства РФ от 30.07.2021 г. № 1290. Данный реестр можно посмотреть на официальном сайте Минэкономразвития России.</w:t>
      </w:r>
    </w:p>
    <w:p w:rsidR="00572C37" w:rsidRPr="00304188" w:rsidRDefault="00641FAC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t>Государство много вним</w:t>
      </w:r>
      <w:r w:rsidR="0065389B" w:rsidRPr="00304188">
        <w:rPr>
          <w:rFonts w:ascii="Times New Roman" w:hAnsi="Times New Roman" w:cs="Times New Roman"/>
          <w:sz w:val="25"/>
          <w:szCs w:val="25"/>
        </w:rPr>
        <w:t>ания уделяет поддержке СМСП</w:t>
      </w:r>
      <w:r w:rsidRPr="00304188">
        <w:rPr>
          <w:rFonts w:ascii="Times New Roman" w:hAnsi="Times New Roman" w:cs="Times New Roman"/>
          <w:sz w:val="25"/>
          <w:szCs w:val="25"/>
        </w:rPr>
        <w:t xml:space="preserve"> и СОНКО. Одной из мер поддержки являются особенности законов о закупках</w:t>
      </w:r>
      <w:r w:rsidR="002241CA" w:rsidRPr="00304188">
        <w:rPr>
          <w:rFonts w:ascii="Times New Roman" w:hAnsi="Times New Roman" w:cs="Times New Roman"/>
          <w:sz w:val="25"/>
          <w:szCs w:val="25"/>
        </w:rPr>
        <w:t>:</w:t>
      </w:r>
      <w:r w:rsidRPr="00304188">
        <w:rPr>
          <w:rFonts w:ascii="Times New Roman" w:hAnsi="Times New Roman" w:cs="Times New Roman"/>
          <w:sz w:val="25"/>
          <w:szCs w:val="25"/>
        </w:rPr>
        <w:t xml:space="preserve"> </w:t>
      </w:r>
      <w:r w:rsidR="00E319B6" w:rsidRPr="00304188">
        <w:rPr>
          <w:rFonts w:ascii="Times New Roman" w:hAnsi="Times New Roman" w:cs="Times New Roman"/>
          <w:sz w:val="25"/>
          <w:szCs w:val="25"/>
        </w:rPr>
        <w:t>ФЗ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04188">
        <w:rPr>
          <w:rFonts w:ascii="Times New Roman" w:hAnsi="Times New Roman" w:cs="Times New Roman"/>
          <w:sz w:val="25"/>
          <w:szCs w:val="25"/>
        </w:rPr>
        <w:t xml:space="preserve"> и </w:t>
      </w:r>
      <w:r w:rsidR="008D73FB" w:rsidRPr="00304188">
        <w:rPr>
          <w:rFonts w:ascii="Times New Roman" w:hAnsi="Times New Roman" w:cs="Times New Roman"/>
          <w:sz w:val="25"/>
          <w:szCs w:val="25"/>
        </w:rPr>
        <w:t>ФЗ от 18.07.2011 № 223-ФЗ «О закупках товаров, работ, услуг отдельными видами юридических лиц»</w:t>
      </w:r>
      <w:r w:rsidRPr="00304188">
        <w:rPr>
          <w:rFonts w:ascii="Times New Roman" w:hAnsi="Times New Roman" w:cs="Times New Roman"/>
          <w:sz w:val="25"/>
          <w:szCs w:val="25"/>
        </w:rPr>
        <w:t>. Сегодня мы и поговорим об этих особенностях.</w:t>
      </w:r>
    </w:p>
    <w:p w:rsidR="008708E4" w:rsidRPr="00304188" w:rsidRDefault="008708E4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t xml:space="preserve">Когда говорят о </w:t>
      </w:r>
      <w:proofErr w:type="spellStart"/>
      <w:r w:rsidRPr="00304188">
        <w:rPr>
          <w:rFonts w:ascii="Times New Roman" w:hAnsi="Times New Roman" w:cs="Times New Roman"/>
          <w:sz w:val="25"/>
          <w:szCs w:val="25"/>
        </w:rPr>
        <w:t>госзакупках</w:t>
      </w:r>
      <w:proofErr w:type="spellEnd"/>
      <w:r w:rsidRPr="00304188">
        <w:rPr>
          <w:rFonts w:ascii="Times New Roman" w:hAnsi="Times New Roman" w:cs="Times New Roman"/>
          <w:sz w:val="25"/>
          <w:szCs w:val="25"/>
        </w:rPr>
        <w:t xml:space="preserve">, в первую очередь имеют в виду тендеры государственных заказчиков. Они проводятся в соответствии с законом 44-ФЗ. В категорию государственных закупок включают еще и так называемые корпоративные закупки, осуществляемые </w:t>
      </w:r>
      <w:proofErr w:type="spellStart"/>
      <w:r w:rsidRPr="00304188">
        <w:rPr>
          <w:rFonts w:ascii="Times New Roman" w:hAnsi="Times New Roman" w:cs="Times New Roman"/>
          <w:sz w:val="25"/>
          <w:szCs w:val="25"/>
        </w:rPr>
        <w:t>госкорпорациями</w:t>
      </w:r>
      <w:proofErr w:type="spellEnd"/>
      <w:r w:rsidRPr="00304188">
        <w:rPr>
          <w:rFonts w:ascii="Times New Roman" w:hAnsi="Times New Roman" w:cs="Times New Roman"/>
          <w:sz w:val="25"/>
          <w:szCs w:val="25"/>
        </w:rPr>
        <w:t xml:space="preserve"> и прочими компаниями с государственным участием — их регулирует закон 223-ФЗ.</w:t>
      </w:r>
    </w:p>
    <w:p w:rsidR="008708E4" w:rsidRPr="00304188" w:rsidRDefault="008708E4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t xml:space="preserve">Главное различие между этими законами в том, что 44-ФЗ строго регламентирует все действия заказчика, тогда как 223-ФЗ устанавливает лишь определенные рамки. Заказчики по 223-ФЗ сами разрабатывают Положение о закупке, в котором прописывают конкретные правила осуществления тендеров. Тогда как в рамках закупок по 44 ФЗ все более унифицировано. На практике для поставщика (подрядчика, исполнителя) (далее – поставщик) это означает, что в закупках по 44 </w:t>
      </w:r>
      <w:r w:rsidR="002241CA" w:rsidRPr="00304188">
        <w:rPr>
          <w:rFonts w:ascii="Times New Roman" w:hAnsi="Times New Roman" w:cs="Times New Roman"/>
          <w:sz w:val="25"/>
          <w:szCs w:val="25"/>
        </w:rPr>
        <w:t xml:space="preserve">ФЗ </w:t>
      </w:r>
      <w:r w:rsidRPr="00304188">
        <w:rPr>
          <w:rFonts w:ascii="Times New Roman" w:hAnsi="Times New Roman" w:cs="Times New Roman"/>
          <w:sz w:val="25"/>
          <w:szCs w:val="25"/>
        </w:rPr>
        <w:t>у заказчика меньше возможностей для нарушений. Вместе с тем закупки по этому закону более требовательны и к соблюдению правил самими поставщиками.</w:t>
      </w:r>
    </w:p>
    <w:p w:rsidR="00641FAC" w:rsidRPr="00304188" w:rsidRDefault="00641FAC" w:rsidP="000E26FD">
      <w:pPr>
        <w:spacing w:after="0"/>
        <w:ind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04188">
        <w:rPr>
          <w:rFonts w:ascii="Times New Roman" w:hAnsi="Times New Roman" w:cs="Times New Roman"/>
          <w:b/>
          <w:sz w:val="25"/>
          <w:szCs w:val="25"/>
        </w:rPr>
        <w:t>Основные термины (ст. 3):</w:t>
      </w:r>
    </w:p>
    <w:p w:rsidR="00641FAC" w:rsidRPr="00304188" w:rsidRDefault="00D520D5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t xml:space="preserve">1) </w:t>
      </w:r>
      <w:r w:rsidRPr="00304188">
        <w:rPr>
          <w:rFonts w:ascii="Times New Roman" w:hAnsi="Times New Roman" w:cs="Times New Roman"/>
          <w:i/>
          <w:sz w:val="25"/>
          <w:szCs w:val="25"/>
        </w:rPr>
        <w:t>Определение поставщика</w:t>
      </w:r>
      <w:r w:rsidRPr="00304188">
        <w:rPr>
          <w:rFonts w:ascii="Times New Roman" w:hAnsi="Times New Roman" w:cs="Times New Roman"/>
          <w:sz w:val="25"/>
          <w:szCs w:val="25"/>
        </w:rPr>
        <w:t xml:space="preserve"> - совокупность действий, которые </w:t>
      </w:r>
      <w:proofErr w:type="gramStart"/>
      <w:r w:rsidRPr="00304188">
        <w:rPr>
          <w:rFonts w:ascii="Times New Roman" w:hAnsi="Times New Roman" w:cs="Times New Roman"/>
          <w:sz w:val="25"/>
          <w:szCs w:val="25"/>
        </w:rPr>
        <w:t>осуществляются заказчиками начиная</w:t>
      </w:r>
      <w:proofErr w:type="gramEnd"/>
      <w:r w:rsidRPr="00304188">
        <w:rPr>
          <w:rFonts w:ascii="Times New Roman" w:hAnsi="Times New Roman" w:cs="Times New Roman"/>
          <w:sz w:val="25"/>
          <w:szCs w:val="25"/>
        </w:rPr>
        <w:t xml:space="preserve"> с размещения извещения об осуществлении закупки товара, работы, услуги для обеспечения государственных или муниципальных нужд либо с направления приглашения принять участие в определении поставщика и завершаются заключением контракта;</w:t>
      </w:r>
    </w:p>
    <w:p w:rsidR="00D520D5" w:rsidRPr="00304188" w:rsidRDefault="00D520D5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t xml:space="preserve">2) </w:t>
      </w:r>
      <w:r w:rsidRPr="00304188">
        <w:rPr>
          <w:rFonts w:ascii="Times New Roman" w:hAnsi="Times New Roman" w:cs="Times New Roman"/>
          <w:i/>
          <w:sz w:val="25"/>
          <w:szCs w:val="25"/>
        </w:rPr>
        <w:t>Участник закупки</w:t>
      </w:r>
      <w:r w:rsidRPr="00304188">
        <w:rPr>
          <w:rFonts w:ascii="Times New Roman" w:hAnsi="Times New Roman" w:cs="Times New Roman"/>
          <w:sz w:val="25"/>
          <w:szCs w:val="25"/>
        </w:rPr>
        <w:t xml:space="preserve"> - любое юридическое лицо</w:t>
      </w:r>
      <w:r w:rsidR="00E319B6" w:rsidRPr="00304188">
        <w:rPr>
          <w:rFonts w:ascii="Times New Roman" w:hAnsi="Times New Roman" w:cs="Times New Roman"/>
          <w:sz w:val="25"/>
          <w:szCs w:val="25"/>
        </w:rPr>
        <w:t xml:space="preserve"> </w:t>
      </w:r>
      <w:r w:rsidRPr="00304188">
        <w:rPr>
          <w:rFonts w:ascii="Times New Roman" w:hAnsi="Times New Roman" w:cs="Times New Roman"/>
          <w:sz w:val="25"/>
          <w:szCs w:val="25"/>
        </w:rPr>
        <w:t xml:space="preserve">или любое физическое лицо, в том числе зарегистрированное в качестве </w:t>
      </w:r>
      <w:r w:rsidR="00304188">
        <w:rPr>
          <w:rFonts w:ascii="Times New Roman" w:hAnsi="Times New Roman" w:cs="Times New Roman"/>
          <w:sz w:val="25"/>
          <w:szCs w:val="25"/>
        </w:rPr>
        <w:t>ИП</w:t>
      </w:r>
      <w:r w:rsidR="00E319B6" w:rsidRPr="00304188">
        <w:rPr>
          <w:rFonts w:ascii="Times New Roman" w:hAnsi="Times New Roman" w:cs="Times New Roman"/>
          <w:sz w:val="25"/>
          <w:szCs w:val="25"/>
        </w:rPr>
        <w:t>, которое должно соответствовать определенным условиям</w:t>
      </w:r>
      <w:r w:rsidRPr="00304188">
        <w:rPr>
          <w:rFonts w:ascii="Times New Roman" w:hAnsi="Times New Roman" w:cs="Times New Roman"/>
          <w:sz w:val="25"/>
          <w:szCs w:val="25"/>
        </w:rPr>
        <w:t>;</w:t>
      </w:r>
    </w:p>
    <w:p w:rsidR="00D520D5" w:rsidRPr="00304188" w:rsidRDefault="00D520D5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lastRenderedPageBreak/>
        <w:t xml:space="preserve">3) </w:t>
      </w:r>
      <w:r w:rsidRPr="00304188">
        <w:rPr>
          <w:rFonts w:ascii="Times New Roman" w:hAnsi="Times New Roman" w:cs="Times New Roman"/>
          <w:i/>
          <w:sz w:val="25"/>
          <w:szCs w:val="25"/>
        </w:rPr>
        <w:t>Поставщик</w:t>
      </w:r>
      <w:r w:rsidRPr="00304188">
        <w:rPr>
          <w:rFonts w:ascii="Times New Roman" w:hAnsi="Times New Roman" w:cs="Times New Roman"/>
          <w:sz w:val="25"/>
          <w:szCs w:val="25"/>
        </w:rPr>
        <w:t xml:space="preserve"> - участник закупки, с которым заключен контракт</w:t>
      </w:r>
      <w:r w:rsidR="00F76182" w:rsidRPr="00304188">
        <w:rPr>
          <w:rFonts w:ascii="Times New Roman" w:hAnsi="Times New Roman" w:cs="Times New Roman"/>
          <w:sz w:val="25"/>
          <w:szCs w:val="25"/>
        </w:rPr>
        <w:t xml:space="preserve"> в соответствии с 44</w:t>
      </w:r>
      <w:r w:rsidR="00E319B6" w:rsidRPr="00304188">
        <w:rPr>
          <w:rFonts w:ascii="Times New Roman" w:hAnsi="Times New Roman" w:cs="Times New Roman"/>
          <w:sz w:val="25"/>
          <w:szCs w:val="25"/>
        </w:rPr>
        <w:t xml:space="preserve"> ФЗ</w:t>
      </w:r>
      <w:r w:rsidRPr="00304188">
        <w:rPr>
          <w:rFonts w:ascii="Times New Roman" w:hAnsi="Times New Roman" w:cs="Times New Roman"/>
          <w:sz w:val="25"/>
          <w:szCs w:val="25"/>
        </w:rPr>
        <w:t>;</w:t>
      </w:r>
    </w:p>
    <w:p w:rsidR="00D520D5" w:rsidRPr="00304188" w:rsidRDefault="00D520D5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t xml:space="preserve">4) </w:t>
      </w:r>
      <w:r w:rsidRPr="00304188">
        <w:rPr>
          <w:rFonts w:ascii="Times New Roman" w:hAnsi="Times New Roman" w:cs="Times New Roman"/>
          <w:i/>
          <w:sz w:val="25"/>
          <w:szCs w:val="25"/>
        </w:rPr>
        <w:t>Заказчик</w:t>
      </w:r>
      <w:r w:rsidRPr="00304188">
        <w:rPr>
          <w:rFonts w:ascii="Times New Roman" w:hAnsi="Times New Roman" w:cs="Times New Roman"/>
          <w:sz w:val="25"/>
          <w:szCs w:val="25"/>
        </w:rPr>
        <w:t xml:space="preserve"> - это организация, которая нуждается в товарах и услугах и оплачивает закупку. Например, больницы, школы, вузы, администрация.</w:t>
      </w:r>
    </w:p>
    <w:p w:rsidR="00E319B6" w:rsidRPr="00304188" w:rsidRDefault="00E319B6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t xml:space="preserve">5) </w:t>
      </w:r>
      <w:r w:rsidRPr="00304188">
        <w:rPr>
          <w:rFonts w:ascii="Times New Roman" w:hAnsi="Times New Roman" w:cs="Times New Roman"/>
          <w:i/>
          <w:sz w:val="25"/>
          <w:szCs w:val="25"/>
        </w:rPr>
        <w:t>Контракт</w:t>
      </w:r>
      <w:r w:rsidRPr="00304188">
        <w:rPr>
          <w:rFonts w:ascii="Times New Roman" w:hAnsi="Times New Roman" w:cs="Times New Roman"/>
          <w:sz w:val="25"/>
          <w:szCs w:val="25"/>
        </w:rPr>
        <w:t xml:space="preserve"> - государственный или муниципальный контракт либо гражданско-правовой договор, предметом кот</w:t>
      </w:r>
      <w:r w:rsidR="00A141C0" w:rsidRPr="00304188">
        <w:rPr>
          <w:rFonts w:ascii="Times New Roman" w:hAnsi="Times New Roman" w:cs="Times New Roman"/>
          <w:sz w:val="25"/>
          <w:szCs w:val="25"/>
        </w:rPr>
        <w:t xml:space="preserve">орого являются поставка товара </w:t>
      </w:r>
      <w:r w:rsidRPr="00304188">
        <w:rPr>
          <w:rFonts w:ascii="Times New Roman" w:hAnsi="Times New Roman" w:cs="Times New Roman"/>
          <w:sz w:val="25"/>
          <w:szCs w:val="25"/>
        </w:rPr>
        <w:t xml:space="preserve">и который заключен юридическим лицом в соответствии с </w:t>
      </w:r>
      <w:r w:rsidR="00A141C0" w:rsidRPr="00304188">
        <w:rPr>
          <w:rFonts w:ascii="Times New Roman" w:hAnsi="Times New Roman" w:cs="Times New Roman"/>
          <w:sz w:val="25"/>
          <w:szCs w:val="25"/>
        </w:rPr>
        <w:t>44</w:t>
      </w:r>
      <w:r w:rsidR="00572C37" w:rsidRPr="00304188">
        <w:rPr>
          <w:rFonts w:ascii="Times New Roman" w:hAnsi="Times New Roman" w:cs="Times New Roman"/>
          <w:sz w:val="25"/>
          <w:szCs w:val="25"/>
        </w:rPr>
        <w:t xml:space="preserve"> ФЗ</w:t>
      </w:r>
      <w:r w:rsidRPr="00304188">
        <w:rPr>
          <w:rFonts w:ascii="Times New Roman" w:hAnsi="Times New Roman" w:cs="Times New Roman"/>
          <w:sz w:val="25"/>
          <w:szCs w:val="25"/>
        </w:rPr>
        <w:t>;</w:t>
      </w:r>
    </w:p>
    <w:p w:rsidR="00A141C0" w:rsidRPr="00304188" w:rsidRDefault="00A141C0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t xml:space="preserve">6) </w:t>
      </w:r>
      <w:r w:rsidR="00C95EC7" w:rsidRPr="00304188">
        <w:rPr>
          <w:rFonts w:ascii="Times New Roman" w:hAnsi="Times New Roman" w:cs="Times New Roman"/>
          <w:i/>
          <w:sz w:val="25"/>
          <w:szCs w:val="25"/>
        </w:rPr>
        <w:t>Единая информационная система (ЕИС)</w:t>
      </w:r>
      <w:r w:rsidR="00C95EC7" w:rsidRPr="00304188">
        <w:rPr>
          <w:rFonts w:ascii="Times New Roman" w:hAnsi="Times New Roman" w:cs="Times New Roman"/>
          <w:sz w:val="25"/>
          <w:szCs w:val="25"/>
        </w:rPr>
        <w:t xml:space="preserve"> - совокупность информации, содержащейся в базах данных, информационных технологий и технических средств, а также ее предоставление с использованием официального сайта </w:t>
      </w:r>
      <w:r w:rsidR="00D05B11" w:rsidRPr="00304188">
        <w:rPr>
          <w:rFonts w:ascii="Times New Roman" w:hAnsi="Times New Roman" w:cs="Times New Roman"/>
          <w:sz w:val="25"/>
          <w:szCs w:val="25"/>
        </w:rPr>
        <w:t>(</w:t>
      </w:r>
      <w:r w:rsidR="004459BF" w:rsidRPr="00304188">
        <w:rPr>
          <w:rFonts w:ascii="Times New Roman" w:hAnsi="Times New Roman" w:cs="Times New Roman"/>
          <w:sz w:val="25"/>
          <w:szCs w:val="25"/>
          <w:lang w:val="en-US"/>
        </w:rPr>
        <w:t>z</w:t>
      </w:r>
      <w:r w:rsidR="00D05B11" w:rsidRPr="00304188">
        <w:rPr>
          <w:rFonts w:ascii="Times New Roman" w:hAnsi="Times New Roman" w:cs="Times New Roman"/>
          <w:sz w:val="25"/>
          <w:szCs w:val="25"/>
        </w:rPr>
        <w:t>akupki.gov.ru)</w:t>
      </w:r>
      <w:r w:rsidR="00C95EC7" w:rsidRPr="00304188">
        <w:rPr>
          <w:rFonts w:ascii="Times New Roman" w:hAnsi="Times New Roman" w:cs="Times New Roman"/>
          <w:sz w:val="25"/>
          <w:szCs w:val="25"/>
        </w:rPr>
        <w:t>;</w:t>
      </w:r>
    </w:p>
    <w:p w:rsidR="00C95EC7" w:rsidRPr="00304188" w:rsidRDefault="00C95EC7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t xml:space="preserve">7) </w:t>
      </w:r>
      <w:r w:rsidR="00FB475C" w:rsidRPr="00304188">
        <w:rPr>
          <w:rFonts w:ascii="Times New Roman" w:hAnsi="Times New Roman" w:cs="Times New Roman"/>
          <w:i/>
          <w:sz w:val="25"/>
          <w:szCs w:val="25"/>
        </w:rPr>
        <w:t>С</w:t>
      </w:r>
      <w:r w:rsidR="000A789C" w:rsidRPr="00304188">
        <w:rPr>
          <w:rFonts w:ascii="Times New Roman" w:hAnsi="Times New Roman" w:cs="Times New Roman"/>
          <w:i/>
          <w:sz w:val="25"/>
          <w:szCs w:val="25"/>
        </w:rPr>
        <w:t>овокупный годовой объем закупок (СГОЗ)</w:t>
      </w:r>
      <w:r w:rsidR="000A789C" w:rsidRPr="00304188">
        <w:rPr>
          <w:rFonts w:ascii="Times New Roman" w:hAnsi="Times New Roman" w:cs="Times New Roman"/>
          <w:sz w:val="25"/>
          <w:szCs w:val="25"/>
        </w:rPr>
        <w:t xml:space="preserve"> - утвержденный на соответствующий финансовый год общий объем финансового обеспечения для осуществления заказчиком закупок</w:t>
      </w:r>
      <w:r w:rsidR="00FB475C" w:rsidRPr="00304188">
        <w:rPr>
          <w:rFonts w:ascii="Times New Roman" w:hAnsi="Times New Roman" w:cs="Times New Roman"/>
          <w:sz w:val="25"/>
          <w:szCs w:val="25"/>
        </w:rPr>
        <w:t>;</w:t>
      </w:r>
    </w:p>
    <w:p w:rsidR="00FB475C" w:rsidRPr="00304188" w:rsidRDefault="00FB475C" w:rsidP="000E26FD">
      <w:pPr>
        <w:spacing w:after="0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t xml:space="preserve">8) </w:t>
      </w:r>
      <w:r w:rsidRPr="00304188">
        <w:rPr>
          <w:rFonts w:ascii="Times New Roman" w:hAnsi="Times New Roman" w:cs="Times New Roman"/>
          <w:i/>
          <w:sz w:val="25"/>
          <w:szCs w:val="25"/>
        </w:rPr>
        <w:t>Электронная площадка</w:t>
      </w:r>
      <w:r w:rsidRPr="00304188">
        <w:rPr>
          <w:rFonts w:ascii="Times New Roman" w:hAnsi="Times New Roman" w:cs="Times New Roman"/>
          <w:sz w:val="25"/>
          <w:szCs w:val="25"/>
        </w:rPr>
        <w:t xml:space="preserve"> </w:t>
      </w:r>
      <w:r w:rsidR="00781CD9" w:rsidRPr="00304188">
        <w:rPr>
          <w:rFonts w:ascii="Times New Roman" w:hAnsi="Times New Roman" w:cs="Times New Roman"/>
          <w:i/>
          <w:sz w:val="25"/>
          <w:szCs w:val="25"/>
        </w:rPr>
        <w:t>(ЭТП)</w:t>
      </w:r>
      <w:r w:rsidR="00781CD9" w:rsidRPr="00304188">
        <w:rPr>
          <w:rFonts w:ascii="Times New Roman" w:hAnsi="Times New Roman" w:cs="Times New Roman"/>
          <w:sz w:val="25"/>
          <w:szCs w:val="25"/>
        </w:rPr>
        <w:t xml:space="preserve"> </w:t>
      </w:r>
      <w:r w:rsidRPr="00304188">
        <w:rPr>
          <w:rFonts w:ascii="Times New Roman" w:hAnsi="Times New Roman" w:cs="Times New Roman"/>
          <w:sz w:val="25"/>
          <w:szCs w:val="25"/>
        </w:rPr>
        <w:t>- сайт, на котором проводятся конкурентные способы определения поставщиков в электронной форме</w:t>
      </w:r>
      <w:r w:rsidR="00237C1D" w:rsidRPr="00304188">
        <w:rPr>
          <w:rFonts w:ascii="Times New Roman" w:hAnsi="Times New Roman" w:cs="Times New Roman"/>
          <w:sz w:val="25"/>
          <w:szCs w:val="25"/>
        </w:rPr>
        <w:t xml:space="preserve"> (</w:t>
      </w:r>
      <w:r w:rsidR="009312DD" w:rsidRPr="00304188">
        <w:rPr>
          <w:rFonts w:ascii="Times New Roman" w:hAnsi="Times New Roman" w:cs="Times New Roman"/>
          <w:sz w:val="25"/>
          <w:szCs w:val="25"/>
        </w:rPr>
        <w:t xml:space="preserve">поставщики подают заявки на участие в закупках, </w:t>
      </w:r>
      <w:r w:rsidR="00237C1D" w:rsidRPr="00304188">
        <w:rPr>
          <w:rFonts w:ascii="Times New Roman" w:hAnsi="Times New Roman" w:cs="Times New Roman"/>
          <w:sz w:val="25"/>
          <w:szCs w:val="25"/>
        </w:rPr>
        <w:t>проходят торги,</w:t>
      </w:r>
      <w:r w:rsidR="009312DD" w:rsidRPr="00304188">
        <w:rPr>
          <w:rFonts w:ascii="Times New Roman" w:hAnsi="Times New Roman" w:cs="Times New Roman"/>
          <w:sz w:val="25"/>
          <w:szCs w:val="25"/>
        </w:rPr>
        <w:t xml:space="preserve"> подводят итоги</w:t>
      </w:r>
      <w:r w:rsidR="00237C1D" w:rsidRPr="00304188">
        <w:rPr>
          <w:rFonts w:ascii="Times New Roman" w:hAnsi="Times New Roman" w:cs="Times New Roman"/>
          <w:sz w:val="25"/>
          <w:szCs w:val="25"/>
        </w:rPr>
        <w:t>)</w:t>
      </w:r>
      <w:r w:rsidRPr="00304188">
        <w:rPr>
          <w:rFonts w:ascii="Times New Roman" w:hAnsi="Times New Roman" w:cs="Times New Roman"/>
          <w:sz w:val="25"/>
          <w:szCs w:val="25"/>
        </w:rPr>
        <w:t>, а также закупки товара у единственного поставщ</w:t>
      </w:r>
      <w:r w:rsidR="00E37932" w:rsidRPr="00304188">
        <w:rPr>
          <w:rFonts w:ascii="Times New Roman" w:hAnsi="Times New Roman" w:cs="Times New Roman"/>
          <w:sz w:val="25"/>
          <w:szCs w:val="25"/>
        </w:rPr>
        <w:t>ика в электронной форме</w:t>
      </w:r>
      <w:r w:rsidR="00675845" w:rsidRPr="00304188">
        <w:rPr>
          <w:rFonts w:ascii="Times New Roman" w:hAnsi="Times New Roman" w:cs="Times New Roman"/>
          <w:sz w:val="25"/>
          <w:szCs w:val="25"/>
        </w:rPr>
        <w:t>;</w:t>
      </w:r>
    </w:p>
    <w:p w:rsidR="00675845" w:rsidRPr="00304188" w:rsidRDefault="00675845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304188">
        <w:rPr>
          <w:rFonts w:ascii="Times New Roman" w:hAnsi="Times New Roman" w:cs="Times New Roman"/>
          <w:sz w:val="25"/>
          <w:szCs w:val="25"/>
        </w:rPr>
        <w:t xml:space="preserve">9) </w:t>
      </w:r>
      <w:r w:rsidRPr="00304188">
        <w:rPr>
          <w:rFonts w:ascii="Times New Roman" w:eastAsia="Calibri" w:hAnsi="Times New Roman" w:cs="Times New Roman"/>
          <w:i/>
          <w:sz w:val="25"/>
          <w:szCs w:val="25"/>
        </w:rPr>
        <w:t>Начальная (максимальная) цена контракта (НМЦК)</w:t>
      </w:r>
      <w:r w:rsidRPr="00304188">
        <w:rPr>
          <w:rFonts w:ascii="Times New Roman" w:eastAsia="Calibri" w:hAnsi="Times New Roman" w:cs="Times New Roman"/>
          <w:sz w:val="25"/>
          <w:szCs w:val="25"/>
        </w:rPr>
        <w:t xml:space="preserve"> - стоимость поставки товаров, которую устанавливает заказчик.</w:t>
      </w:r>
    </w:p>
    <w:p w:rsidR="00893FC1" w:rsidRPr="00831FAD" w:rsidRDefault="002B3EEC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НМЦК</w:t>
      </w:r>
      <w:r w:rsidR="00893FC1" w:rsidRPr="00831FAD">
        <w:rPr>
          <w:rFonts w:ascii="Times New Roman" w:eastAsia="Calibri" w:hAnsi="Times New Roman" w:cs="Times New Roman"/>
          <w:sz w:val="26"/>
          <w:szCs w:val="26"/>
        </w:rPr>
        <w:t xml:space="preserve"> определяет заказчик в зависимости от объекта закупки. </w:t>
      </w:r>
      <w:r w:rsidR="00893FC1" w:rsidRPr="00831FAD">
        <w:rPr>
          <w:rFonts w:ascii="Times New Roman" w:hAnsi="Times New Roman" w:cs="Times New Roman"/>
          <w:sz w:val="26"/>
          <w:szCs w:val="26"/>
        </w:rPr>
        <w:t>НМЦК нужно обязательно обосновывать. Поставщики не могут предложить цену, выше НМЦК.</w:t>
      </w:r>
    </w:p>
    <w:p w:rsidR="00FB475C" w:rsidRPr="00831FAD" w:rsidRDefault="003C63A3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b/>
          <w:sz w:val="26"/>
          <w:szCs w:val="26"/>
        </w:rPr>
        <w:t>Организация докумен</w:t>
      </w:r>
      <w:r w:rsidR="00312D5D" w:rsidRPr="00831FAD">
        <w:rPr>
          <w:rFonts w:ascii="Times New Roman" w:hAnsi="Times New Roman" w:cs="Times New Roman"/>
          <w:b/>
          <w:sz w:val="26"/>
          <w:szCs w:val="26"/>
        </w:rPr>
        <w:t>тооборота</w:t>
      </w:r>
      <w:r w:rsidR="00312D5D" w:rsidRPr="00831FAD">
        <w:rPr>
          <w:rFonts w:ascii="Times New Roman" w:hAnsi="Times New Roman" w:cs="Times New Roman"/>
          <w:sz w:val="26"/>
          <w:szCs w:val="26"/>
        </w:rPr>
        <w:t xml:space="preserve"> происходит в электр</w:t>
      </w:r>
      <w:r w:rsidR="00781CD9" w:rsidRPr="00831FAD">
        <w:rPr>
          <w:rFonts w:ascii="Times New Roman" w:hAnsi="Times New Roman" w:cs="Times New Roman"/>
          <w:sz w:val="26"/>
          <w:szCs w:val="26"/>
        </w:rPr>
        <w:t>онном виде в системе и подписывается элект</w:t>
      </w:r>
      <w:r w:rsidR="007A6765" w:rsidRPr="00831FAD">
        <w:rPr>
          <w:rFonts w:ascii="Times New Roman" w:hAnsi="Times New Roman" w:cs="Times New Roman"/>
          <w:sz w:val="26"/>
          <w:szCs w:val="26"/>
        </w:rPr>
        <w:t xml:space="preserve">ронной подписью. </w:t>
      </w:r>
      <w:r w:rsidR="00781CD9" w:rsidRPr="00831FAD">
        <w:rPr>
          <w:rFonts w:ascii="Times New Roman" w:hAnsi="Times New Roman" w:cs="Times New Roman"/>
          <w:sz w:val="26"/>
          <w:szCs w:val="26"/>
        </w:rPr>
        <w:t>Для участия в закупках нужна Квалифицированная электронная подпись (КЭП). Одну подпись можно использовать на нескольких подходящих площадках.</w:t>
      </w:r>
    </w:p>
    <w:p w:rsidR="00675845" w:rsidRPr="00831FAD" w:rsidRDefault="00893FC1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b/>
          <w:sz w:val="26"/>
          <w:szCs w:val="26"/>
        </w:rPr>
        <w:t>Регистрация участников</w:t>
      </w:r>
      <w:r w:rsidRPr="00831FAD">
        <w:rPr>
          <w:rFonts w:ascii="Times New Roman" w:hAnsi="Times New Roman" w:cs="Times New Roman"/>
          <w:sz w:val="26"/>
          <w:szCs w:val="26"/>
        </w:rPr>
        <w:t xml:space="preserve"> </w:t>
      </w:r>
      <w:r w:rsidR="00E66E08" w:rsidRPr="00831FAD">
        <w:rPr>
          <w:rFonts w:ascii="Times New Roman" w:hAnsi="Times New Roman" w:cs="Times New Roman"/>
          <w:sz w:val="26"/>
          <w:szCs w:val="26"/>
        </w:rPr>
        <w:t>регулируется: ст. 24.2 ФЗ 44, Правила</w:t>
      </w:r>
      <w:r w:rsidR="00F600DB">
        <w:rPr>
          <w:rFonts w:ascii="Times New Roman" w:hAnsi="Times New Roman" w:cs="Times New Roman"/>
          <w:sz w:val="26"/>
          <w:szCs w:val="26"/>
        </w:rPr>
        <w:t>ми</w:t>
      </w:r>
      <w:r w:rsidR="00E66E08" w:rsidRPr="00831FAD">
        <w:rPr>
          <w:rFonts w:ascii="Times New Roman" w:hAnsi="Times New Roman" w:cs="Times New Roman"/>
          <w:sz w:val="26"/>
          <w:szCs w:val="26"/>
        </w:rPr>
        <w:t xml:space="preserve"> регистрации участников закупок в ЕИС в сфере закупок и ведения единого реестра участников закупок</w:t>
      </w:r>
      <w:r w:rsidR="004449F3" w:rsidRPr="00831FAD">
        <w:rPr>
          <w:rFonts w:ascii="Times New Roman" w:hAnsi="Times New Roman" w:cs="Times New Roman"/>
          <w:sz w:val="26"/>
          <w:szCs w:val="26"/>
        </w:rPr>
        <w:t>.</w:t>
      </w:r>
      <w:r w:rsidR="00E66E08" w:rsidRPr="00831FAD">
        <w:rPr>
          <w:rFonts w:ascii="Times New Roman" w:hAnsi="Times New Roman" w:cs="Times New Roman"/>
          <w:sz w:val="26"/>
          <w:szCs w:val="26"/>
        </w:rPr>
        <w:t xml:space="preserve"> </w:t>
      </w:r>
      <w:r w:rsidR="004449F3" w:rsidRPr="00831FAD">
        <w:rPr>
          <w:rFonts w:ascii="Times New Roman" w:hAnsi="Times New Roman" w:cs="Times New Roman"/>
          <w:sz w:val="26"/>
          <w:szCs w:val="26"/>
        </w:rPr>
        <w:t xml:space="preserve">Регистрация участников </w:t>
      </w:r>
      <w:r w:rsidRPr="00831FAD">
        <w:rPr>
          <w:rFonts w:ascii="Times New Roman" w:hAnsi="Times New Roman" w:cs="Times New Roman"/>
          <w:sz w:val="26"/>
          <w:szCs w:val="26"/>
        </w:rPr>
        <w:t xml:space="preserve">закупок в ЕИС осуществляется в электронной форме на основании информации и документов в порядке и сроки, которые определяются Правительством </w:t>
      </w:r>
      <w:r w:rsidR="00BF0709" w:rsidRPr="00831FAD">
        <w:rPr>
          <w:rFonts w:ascii="Times New Roman" w:hAnsi="Times New Roman" w:cs="Times New Roman"/>
          <w:sz w:val="26"/>
          <w:szCs w:val="26"/>
        </w:rPr>
        <w:t>РФ</w:t>
      </w:r>
      <w:r w:rsidRPr="00831FAD">
        <w:rPr>
          <w:rFonts w:ascii="Times New Roman" w:hAnsi="Times New Roman" w:cs="Times New Roman"/>
          <w:sz w:val="26"/>
          <w:szCs w:val="26"/>
        </w:rPr>
        <w:t xml:space="preserve">. Информация и документы об участниках закупок, зарегистрированных в </w:t>
      </w:r>
      <w:r w:rsidR="00BF0709" w:rsidRPr="00831FAD">
        <w:rPr>
          <w:rFonts w:ascii="Times New Roman" w:hAnsi="Times New Roman" w:cs="Times New Roman"/>
          <w:sz w:val="26"/>
          <w:szCs w:val="26"/>
        </w:rPr>
        <w:t>ЕИС</w:t>
      </w:r>
      <w:r w:rsidRPr="00831FAD">
        <w:rPr>
          <w:rFonts w:ascii="Times New Roman" w:hAnsi="Times New Roman" w:cs="Times New Roman"/>
          <w:sz w:val="26"/>
          <w:szCs w:val="26"/>
        </w:rPr>
        <w:t>, вносятся в единый реестр участников закупок.</w:t>
      </w:r>
    </w:p>
    <w:p w:rsidR="00BF0709" w:rsidRPr="00831FAD" w:rsidRDefault="00BF0709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sz w:val="26"/>
          <w:szCs w:val="26"/>
        </w:rPr>
        <w:t>Требовать для регистрации участников закупок в ЕИС предоставления иных информации и документов, не предусмотренных Правительством РФ, не допускается.</w:t>
      </w:r>
    </w:p>
    <w:p w:rsidR="007D6B5B" w:rsidRPr="00831FAD" w:rsidRDefault="007D6B5B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sz w:val="26"/>
          <w:szCs w:val="26"/>
        </w:rPr>
        <w:t>Доступ к информации на ЕИС — бесплатный. Если информация об одной и той же закупке, заказчике, договоре и т.д. на ЕИС и в другом источнике отличается, то приоритет — у информации на ЕИС.</w:t>
      </w:r>
    </w:p>
    <w:p w:rsidR="007D6B5B" w:rsidRPr="00831FAD" w:rsidRDefault="007D6B5B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sz w:val="26"/>
          <w:szCs w:val="26"/>
        </w:rPr>
        <w:t>ЕИС содержит: информацию о закупках, дает возможность их поиска (по наименованию и по ОКПД</w:t>
      </w:r>
      <w:proofErr w:type="gramStart"/>
      <w:r w:rsidRPr="00831FAD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831FAD">
        <w:rPr>
          <w:rFonts w:ascii="Times New Roman" w:hAnsi="Times New Roman" w:cs="Times New Roman"/>
          <w:sz w:val="26"/>
          <w:szCs w:val="26"/>
        </w:rPr>
        <w:t xml:space="preserve">); шаблоны контрактов; информацию о рыночных ценах на товары; планы закупок, планы-графики; отчетность по исполненным контрактам; реестр недобросовестных поставщиков; единая регистрация и реестр участников закупок; единый каталог </w:t>
      </w:r>
      <w:r w:rsidR="00F600DB">
        <w:rPr>
          <w:rFonts w:ascii="Times New Roman" w:hAnsi="Times New Roman" w:cs="Times New Roman"/>
          <w:sz w:val="26"/>
          <w:szCs w:val="26"/>
        </w:rPr>
        <w:t>ТРУ</w:t>
      </w:r>
      <w:r w:rsidRPr="00831FAD">
        <w:rPr>
          <w:rFonts w:ascii="Times New Roman" w:hAnsi="Times New Roman" w:cs="Times New Roman"/>
          <w:sz w:val="26"/>
          <w:szCs w:val="26"/>
        </w:rPr>
        <w:t>; независимый регистратор - это система фиксации действий участников закупок в ЕИС и на 8 федеральных ЭТП; электронное актирование и приемка; подача жалоб.</w:t>
      </w:r>
    </w:p>
    <w:p w:rsidR="007D6B5B" w:rsidRPr="00831FAD" w:rsidRDefault="007D6B5B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sz w:val="26"/>
          <w:szCs w:val="26"/>
        </w:rPr>
        <w:t xml:space="preserve">Закупки у </w:t>
      </w:r>
      <w:r w:rsidR="006404DC">
        <w:rPr>
          <w:rFonts w:ascii="Times New Roman" w:hAnsi="Times New Roman" w:cs="Times New Roman"/>
          <w:sz w:val="26"/>
          <w:szCs w:val="26"/>
        </w:rPr>
        <w:t>СМСП</w:t>
      </w:r>
      <w:r w:rsidRPr="00831FAD">
        <w:rPr>
          <w:rFonts w:ascii="Times New Roman" w:hAnsi="Times New Roman" w:cs="Times New Roman"/>
          <w:sz w:val="26"/>
          <w:szCs w:val="26"/>
        </w:rPr>
        <w:t xml:space="preserve"> можно проводить только на восьми ЭТП </w:t>
      </w:r>
      <w:proofErr w:type="spellStart"/>
      <w:r w:rsidRPr="00831FAD">
        <w:rPr>
          <w:rFonts w:ascii="Times New Roman" w:hAnsi="Times New Roman" w:cs="Times New Roman"/>
          <w:sz w:val="26"/>
          <w:szCs w:val="26"/>
        </w:rPr>
        <w:t>госзакупок</w:t>
      </w:r>
      <w:proofErr w:type="spellEnd"/>
      <w:r w:rsidRPr="00831FAD">
        <w:rPr>
          <w:rFonts w:ascii="Times New Roman" w:hAnsi="Times New Roman" w:cs="Times New Roman"/>
          <w:sz w:val="26"/>
          <w:szCs w:val="26"/>
        </w:rPr>
        <w:t>: «Сбербанк-АСТ», «РТС-тендер», «</w:t>
      </w:r>
      <w:proofErr w:type="spellStart"/>
      <w:r w:rsidRPr="00831FAD">
        <w:rPr>
          <w:rFonts w:ascii="Times New Roman" w:hAnsi="Times New Roman" w:cs="Times New Roman"/>
          <w:sz w:val="26"/>
          <w:szCs w:val="26"/>
        </w:rPr>
        <w:t>Росэлторг</w:t>
      </w:r>
      <w:proofErr w:type="spellEnd"/>
      <w:r w:rsidRPr="00831FAD">
        <w:rPr>
          <w:rFonts w:ascii="Times New Roman" w:hAnsi="Times New Roman" w:cs="Times New Roman"/>
          <w:sz w:val="26"/>
          <w:szCs w:val="26"/>
        </w:rPr>
        <w:t xml:space="preserve">», НЭП, </w:t>
      </w:r>
      <w:proofErr w:type="spellStart"/>
      <w:r w:rsidRPr="00831FAD">
        <w:rPr>
          <w:rFonts w:ascii="Times New Roman" w:hAnsi="Times New Roman" w:cs="Times New Roman"/>
          <w:sz w:val="26"/>
          <w:szCs w:val="26"/>
        </w:rPr>
        <w:t>ZakazRF</w:t>
      </w:r>
      <w:proofErr w:type="spellEnd"/>
      <w:r w:rsidRPr="00831F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31FAD">
        <w:rPr>
          <w:rFonts w:ascii="Times New Roman" w:hAnsi="Times New Roman" w:cs="Times New Roman"/>
          <w:sz w:val="26"/>
          <w:szCs w:val="26"/>
        </w:rPr>
        <w:t>Lot-online</w:t>
      </w:r>
      <w:proofErr w:type="spellEnd"/>
      <w:r w:rsidRPr="00831FAD">
        <w:rPr>
          <w:rFonts w:ascii="Times New Roman" w:hAnsi="Times New Roman" w:cs="Times New Roman"/>
          <w:sz w:val="26"/>
          <w:szCs w:val="26"/>
        </w:rPr>
        <w:t xml:space="preserve">, ТЭК-Торг, ЭТП ГПБ. Для работы на площадках нужна регистрация в ЕИС. </w:t>
      </w:r>
      <w:r w:rsidR="009A2835" w:rsidRPr="00831FAD">
        <w:rPr>
          <w:rFonts w:ascii="Times New Roman" w:hAnsi="Times New Roman" w:cs="Times New Roman"/>
          <w:sz w:val="26"/>
          <w:szCs w:val="26"/>
        </w:rPr>
        <w:t>Операторы ЭТП осуществляют аккредитацию участника на ЭТП путем информационного взаимодействия электронной площадки с ЕИС и иными государственными информационными системами.</w:t>
      </w:r>
    </w:p>
    <w:p w:rsidR="00BF0709" w:rsidRDefault="00812B58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участникам</w:t>
      </w:r>
      <w:r w:rsidRPr="00831FA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31FAD">
        <w:rPr>
          <w:rFonts w:ascii="Times New Roman" w:hAnsi="Times New Roman" w:cs="Times New Roman"/>
          <w:sz w:val="26"/>
          <w:szCs w:val="26"/>
        </w:rPr>
        <w:t>Есть единые требования к участникам закупок, установленные ст. 31 (не иметь задолженности по налогам, судимости (</w:t>
      </w:r>
      <w:r w:rsidR="006404DC">
        <w:rPr>
          <w:rFonts w:ascii="Times New Roman" w:hAnsi="Times New Roman" w:cs="Times New Roman"/>
          <w:sz w:val="26"/>
          <w:szCs w:val="26"/>
        </w:rPr>
        <w:t>у физлица либо руководителя, членов</w:t>
      </w:r>
      <w:r w:rsidRPr="00831FAD">
        <w:rPr>
          <w:rFonts w:ascii="Times New Roman" w:hAnsi="Times New Roman" w:cs="Times New Roman"/>
          <w:sz w:val="26"/>
          <w:szCs w:val="26"/>
        </w:rPr>
        <w:t xml:space="preserve"> коллегиальн</w:t>
      </w:r>
      <w:r w:rsidR="006404DC">
        <w:rPr>
          <w:rFonts w:ascii="Times New Roman" w:hAnsi="Times New Roman" w:cs="Times New Roman"/>
          <w:sz w:val="26"/>
          <w:szCs w:val="26"/>
        </w:rPr>
        <w:t>ого исполнительного органа, лица, исполняющего</w:t>
      </w:r>
      <w:r w:rsidRPr="00831FAD">
        <w:rPr>
          <w:rFonts w:ascii="Times New Roman" w:hAnsi="Times New Roman" w:cs="Times New Roman"/>
          <w:sz w:val="26"/>
          <w:szCs w:val="26"/>
        </w:rPr>
        <w:t xml:space="preserve"> функции единоличного исп</w:t>
      </w:r>
      <w:r w:rsidR="006404DC">
        <w:rPr>
          <w:rFonts w:ascii="Times New Roman" w:hAnsi="Times New Roman" w:cs="Times New Roman"/>
          <w:sz w:val="26"/>
          <w:szCs w:val="26"/>
        </w:rPr>
        <w:t>олнительного органа, или главного</w:t>
      </w:r>
      <w:r w:rsidRPr="00831FAD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6404DC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6404DC">
        <w:rPr>
          <w:rFonts w:ascii="Times New Roman" w:hAnsi="Times New Roman" w:cs="Times New Roman"/>
          <w:sz w:val="26"/>
          <w:szCs w:val="26"/>
        </w:rPr>
        <w:t>юрлица</w:t>
      </w:r>
      <w:proofErr w:type="spellEnd"/>
      <w:r w:rsidR="006404DC">
        <w:rPr>
          <w:rFonts w:ascii="Times New Roman" w:hAnsi="Times New Roman" w:cs="Times New Roman"/>
          <w:sz w:val="26"/>
          <w:szCs w:val="26"/>
        </w:rPr>
        <w:t>)</w:t>
      </w:r>
      <w:r w:rsidRPr="00831FAD">
        <w:rPr>
          <w:rFonts w:ascii="Times New Roman" w:hAnsi="Times New Roman" w:cs="Times New Roman"/>
          <w:sz w:val="26"/>
          <w:szCs w:val="26"/>
        </w:rPr>
        <w:t xml:space="preserve"> за преступления в сфере экономики и (или) преступления, предусмотренные </w:t>
      </w:r>
      <w:r w:rsidR="006404DC">
        <w:rPr>
          <w:rFonts w:ascii="Times New Roman" w:hAnsi="Times New Roman" w:cs="Times New Roman"/>
          <w:sz w:val="26"/>
          <w:szCs w:val="26"/>
        </w:rPr>
        <w:t xml:space="preserve">ст. 289, 290, 291, 291.1 УК РФ; - не иметь </w:t>
      </w:r>
      <w:proofErr w:type="spellStart"/>
      <w:r w:rsidR="006404DC">
        <w:rPr>
          <w:rFonts w:ascii="Times New Roman" w:hAnsi="Times New Roman" w:cs="Times New Roman"/>
          <w:sz w:val="26"/>
          <w:szCs w:val="26"/>
        </w:rPr>
        <w:t>аффилированности</w:t>
      </w:r>
      <w:proofErr w:type="spellEnd"/>
      <w:r w:rsidR="006404DC">
        <w:rPr>
          <w:rFonts w:ascii="Times New Roman" w:hAnsi="Times New Roman" w:cs="Times New Roman"/>
          <w:sz w:val="26"/>
          <w:szCs w:val="26"/>
        </w:rPr>
        <w:t xml:space="preserve"> с заказчиками;</w:t>
      </w:r>
      <w:proofErr w:type="gramEnd"/>
      <w:r w:rsidRPr="00831FAD">
        <w:rPr>
          <w:rFonts w:ascii="Times New Roman" w:hAnsi="Times New Roman" w:cs="Times New Roman"/>
          <w:sz w:val="26"/>
          <w:szCs w:val="26"/>
        </w:rPr>
        <w:t xml:space="preserve"> - не при</w:t>
      </w:r>
      <w:r w:rsidR="006404DC">
        <w:rPr>
          <w:rFonts w:ascii="Times New Roman" w:hAnsi="Times New Roman" w:cs="Times New Roman"/>
          <w:sz w:val="26"/>
          <w:szCs w:val="26"/>
        </w:rPr>
        <w:t>надлежать к оффшорным компаниям;</w:t>
      </w:r>
      <w:r w:rsidRPr="00831FAD">
        <w:rPr>
          <w:rFonts w:ascii="Times New Roman" w:hAnsi="Times New Roman" w:cs="Times New Roman"/>
          <w:sz w:val="26"/>
          <w:szCs w:val="26"/>
        </w:rPr>
        <w:t xml:space="preserve"> - не состоять в РНП). В извещении могут быть установлены дополнительные требования, такие как наличие специальной лицензии, подтверждение опыта, участие в СРО и т.д.</w:t>
      </w:r>
    </w:p>
    <w:p w:rsidR="00481EDE" w:rsidRDefault="00481EDE" w:rsidP="000E26F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Способы закупок</w:t>
      </w:r>
    </w:p>
    <w:p w:rsidR="00481EDE" w:rsidRDefault="00481EDE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Заказчики при осуществлении закупок применяют конкурентные способы определения поставщиков или закупки у единственного поставщика. Конкурентные способы могут быть открытыми и закрытыми. При открытом конкурентном способе информация о закупке сообщается заказчиком неограниченному кругу лиц путем размещения в ЕИС извещения об осуществлении закупки.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 закрытом конкурентном способе информация о закупке сообщается заказчиком путем направления приглашений принять участие в определении поставщика ограниченному кругу лиц, которые способны осуществить поставку товаров, выполнение работ, оказание услуг, являющихся объектами закупок</w:t>
      </w:r>
      <w:r>
        <w:t xml:space="preserve"> </w:t>
      </w:r>
      <w:r>
        <w:rPr>
          <w:i/>
          <w:color w:val="595959" w:themeColor="text1" w:themeTint="A6"/>
        </w:rPr>
        <w:t>(з</w:t>
      </w:r>
      <w:r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акупки, содержащие </w:t>
      </w:r>
      <w:proofErr w:type="spellStart"/>
      <w:r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гостайну</w:t>
      </w:r>
      <w:proofErr w:type="spellEnd"/>
      <w:r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>; закупки услуг по страхованию, перевозке и охране ценностей государственного фонда драгоценных металлов и камней, архивных документов, рукописей и редких коллекций;</w:t>
      </w:r>
      <w:proofErr w:type="gramEnd"/>
      <w:r>
        <w:rPr>
          <w:rFonts w:ascii="Times New Roman" w:hAnsi="Times New Roman" w:cs="Times New Roman"/>
          <w:i/>
          <w:color w:val="595959" w:themeColor="text1" w:themeTint="A6"/>
          <w:sz w:val="26"/>
          <w:szCs w:val="26"/>
        </w:rPr>
        <w:t xml:space="preserve"> закупки услуг водители и уборки помещений для судей и судебных приставов; закупки органов исполнительной власти, которые связаны с безопасностью и обороной (перечень заказчиков утвержден Правительством))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2"/>
        <w:gridCol w:w="5670"/>
      </w:tblGrid>
      <w:tr w:rsidR="00481EDE" w:rsidTr="009260C0">
        <w:tc>
          <w:tcPr>
            <w:tcW w:w="4678" w:type="dxa"/>
          </w:tcPr>
          <w:p w:rsidR="00481EDE" w:rsidRPr="00481EDE" w:rsidRDefault="00481EDE" w:rsidP="000E26FD">
            <w:pPr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EDE">
              <w:rPr>
                <w:rFonts w:ascii="Times New Roman" w:hAnsi="Times New Roman" w:cs="Times New Roman"/>
                <w:b/>
                <w:sz w:val="26"/>
                <w:szCs w:val="26"/>
              </w:rPr>
              <w:t>44 ФЗ</w:t>
            </w:r>
          </w:p>
        </w:tc>
        <w:tc>
          <w:tcPr>
            <w:tcW w:w="5812" w:type="dxa"/>
            <w:gridSpan w:val="2"/>
          </w:tcPr>
          <w:p w:rsidR="00481EDE" w:rsidRPr="00481EDE" w:rsidRDefault="00481EDE" w:rsidP="000E26FD">
            <w:pPr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1EDE">
              <w:rPr>
                <w:rFonts w:ascii="Times New Roman" w:hAnsi="Times New Roman" w:cs="Times New Roman"/>
                <w:b/>
                <w:sz w:val="26"/>
                <w:szCs w:val="26"/>
              </w:rPr>
              <w:t>223 ФЗ</w:t>
            </w:r>
          </w:p>
        </w:tc>
      </w:tr>
      <w:tr w:rsidR="00481EDE" w:rsidTr="009260C0">
        <w:tc>
          <w:tcPr>
            <w:tcW w:w="4678" w:type="dxa"/>
          </w:tcPr>
          <w:p w:rsidR="00481EDE" w:rsidRDefault="00481EDE" w:rsidP="000E26FD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Конкурентные способы:</w:t>
            </w:r>
          </w:p>
          <w:p w:rsidR="00481EDE" w:rsidRDefault="00481EDE" w:rsidP="000E26FD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конкурсы (открытый конкурс в электронной форме, закрытый конкурс в электронной форме, закрытый конкурс);</w:t>
            </w:r>
          </w:p>
          <w:p w:rsidR="00481EDE" w:rsidRDefault="00481EDE" w:rsidP="000E26FD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аукционы (открытый аукцион в электронной форме, закрытый аукцион в электронной форме, закрытый аукцион);</w:t>
            </w:r>
          </w:p>
          <w:p w:rsidR="00481EDE" w:rsidRDefault="00481EDE" w:rsidP="000E26FD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 запрос котировок в электронной форме.</w:t>
            </w:r>
          </w:p>
        </w:tc>
        <w:tc>
          <w:tcPr>
            <w:tcW w:w="5812" w:type="dxa"/>
            <w:gridSpan w:val="2"/>
          </w:tcPr>
          <w:p w:rsidR="00481EDE" w:rsidRDefault="00481EDE" w:rsidP="000E26FD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положении о закупке заказчик прописывает все варианты конкурентных и неконкурентных способов закупок и исчерпывающий перечень случаев закупки у единственного поставщика. Конкурентные закупки </w:t>
            </w:r>
            <w:r>
              <w:rPr>
                <w:rFonts w:ascii="Times New Roman" w:hAnsi="Times New Roman" w:cs="Times New Roman"/>
                <w:i/>
                <w:color w:val="404040" w:themeColor="text1" w:themeTint="BF"/>
                <w:sz w:val="26"/>
                <w:szCs w:val="26"/>
              </w:rPr>
              <w:t>(подчеркнутые проводятся МКУ «ЦЗРСИ»)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81EDE" w:rsidRDefault="00481EDE" w:rsidP="000E26FD">
            <w:pPr>
              <w:pStyle w:val="a3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конкурс,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конкурс в электронной форме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закрытый 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481EDE" w:rsidRDefault="00481EDE" w:rsidP="000E26FD">
            <w:pPr>
              <w:pStyle w:val="a3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аукционы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открытый аукцион,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аукцион в электронной форме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закрытый аукцион),</w:t>
            </w:r>
          </w:p>
          <w:p w:rsidR="00481EDE" w:rsidRDefault="00481EDE" w:rsidP="000E26FD">
            <w:pPr>
              <w:pStyle w:val="a3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запросы котировок </w:t>
            </w:r>
            <w: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запрос котировок в электронной форме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закрытый запрос котировок),</w:t>
            </w:r>
          </w:p>
          <w:p w:rsidR="00481EDE" w:rsidRDefault="00481EDE" w:rsidP="000E26FD">
            <w:pPr>
              <w:pStyle w:val="a3"/>
              <w:numPr>
                <w:ilvl w:val="0"/>
                <w:numId w:val="1"/>
              </w:numPr>
              <w:ind w:left="0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запросы предложений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запрос предложений в электронной форме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закрытый запрос предложений).</w:t>
            </w:r>
          </w:p>
          <w:p w:rsidR="009260C0" w:rsidRPr="00481EDE" w:rsidRDefault="009260C0" w:rsidP="009260C0">
            <w:pPr>
              <w:pStyle w:val="a3"/>
              <w:ind w:left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99" w:rsidTr="009260C0">
        <w:tc>
          <w:tcPr>
            <w:tcW w:w="10490" w:type="dxa"/>
            <w:gridSpan w:val="3"/>
          </w:tcPr>
          <w:tbl>
            <w:tblPr>
              <w:tblStyle w:val="a4"/>
              <w:tblW w:w="1020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551"/>
              <w:gridCol w:w="2551"/>
              <w:gridCol w:w="2551"/>
            </w:tblGrid>
            <w:tr w:rsidR="00391E99" w:rsidTr="009260C0">
              <w:tc>
                <w:tcPr>
                  <w:tcW w:w="2551" w:type="dxa"/>
                </w:tcPr>
                <w:p w:rsidR="00391E99" w:rsidRPr="00C72B43" w:rsidRDefault="00391E99" w:rsidP="000E26FD">
                  <w:pPr>
                    <w:ind w:firstLine="42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72B4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Аукцион</w:t>
                  </w:r>
                </w:p>
              </w:tc>
              <w:tc>
                <w:tcPr>
                  <w:tcW w:w="2551" w:type="dxa"/>
                </w:tcPr>
                <w:p w:rsidR="00391E99" w:rsidRPr="00C72B43" w:rsidRDefault="00391E99" w:rsidP="000E26FD">
                  <w:pPr>
                    <w:ind w:firstLine="42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72B4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Конкурс</w:t>
                  </w:r>
                </w:p>
              </w:tc>
              <w:tc>
                <w:tcPr>
                  <w:tcW w:w="2551" w:type="dxa"/>
                </w:tcPr>
                <w:p w:rsidR="00391E99" w:rsidRPr="00C72B43" w:rsidRDefault="00391E99" w:rsidP="000E26FD">
                  <w:pPr>
                    <w:ind w:firstLine="42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72B4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Запрос котировок</w:t>
                  </w:r>
                </w:p>
              </w:tc>
              <w:tc>
                <w:tcPr>
                  <w:tcW w:w="2551" w:type="dxa"/>
                </w:tcPr>
                <w:p w:rsidR="00391E99" w:rsidRPr="00C72B43" w:rsidRDefault="00391E99" w:rsidP="000E26FD">
                  <w:pPr>
                    <w:ind w:firstLine="42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C72B43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Запрос предложений</w:t>
                  </w:r>
                </w:p>
              </w:tc>
            </w:tr>
            <w:tr w:rsidR="00391E99" w:rsidTr="009260C0">
              <w:tc>
                <w:tcPr>
                  <w:tcW w:w="2551" w:type="dxa"/>
                </w:tcPr>
                <w:p w:rsidR="00391E99" w:rsidRPr="00064430" w:rsidRDefault="00391E99" w:rsidP="000E26FD">
                  <w:pPr>
                    <w:numPr>
                      <w:ilvl w:val="0"/>
                      <w:numId w:val="2"/>
                    </w:numPr>
                    <w:ind w:left="0" w:firstLine="42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06443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точно знаем, что хотим купить</w:t>
                  </w:r>
                </w:p>
                <w:p w:rsidR="00391E99" w:rsidRPr="00064430" w:rsidRDefault="00391E99" w:rsidP="000E26FD">
                  <w:pPr>
                    <w:numPr>
                      <w:ilvl w:val="0"/>
                      <w:numId w:val="2"/>
                    </w:numPr>
                    <w:ind w:left="0" w:firstLine="42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06443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как можно дешевле</w:t>
                  </w:r>
                </w:p>
                <w:p w:rsidR="00391E99" w:rsidRDefault="00391E99" w:rsidP="000E26FD">
                  <w:pPr>
                    <w:numPr>
                      <w:ilvl w:val="0"/>
                      <w:numId w:val="2"/>
                    </w:numPr>
                    <w:ind w:left="0" w:firstLine="42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06443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участник может предлагать </w:t>
                  </w:r>
                  <w:r w:rsidRPr="0006443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несколько цен контракта</w:t>
                  </w:r>
                </w:p>
                <w:p w:rsidR="00391E99" w:rsidRPr="00064430" w:rsidRDefault="00391E99" w:rsidP="000E26FD">
                  <w:pPr>
                    <w:numPr>
                      <w:ilvl w:val="0"/>
                      <w:numId w:val="2"/>
                    </w:numPr>
                    <w:ind w:left="0" w:firstLine="42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06443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участник, предлагая свою цену, знает цены конкурентов</w:t>
                  </w:r>
                </w:p>
              </w:tc>
              <w:tc>
                <w:tcPr>
                  <w:tcW w:w="2551" w:type="dxa"/>
                </w:tcPr>
                <w:p w:rsidR="00391E99" w:rsidRDefault="00391E99" w:rsidP="000E26FD">
                  <w:pPr>
                    <w:pStyle w:val="a3"/>
                    <w:numPr>
                      <w:ilvl w:val="0"/>
                      <w:numId w:val="2"/>
                    </w:numPr>
                    <w:ind w:left="0" w:firstLine="42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не знаем точные характеристики</w:t>
                  </w:r>
                </w:p>
                <w:p w:rsidR="00391E99" w:rsidRDefault="00391E99" w:rsidP="000E26FD">
                  <w:pPr>
                    <w:pStyle w:val="a3"/>
                    <w:numPr>
                      <w:ilvl w:val="0"/>
                      <w:numId w:val="2"/>
                    </w:numPr>
                    <w:ind w:left="0" w:firstLine="42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хотим купить лучшее и проверить квалификацию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поставщика</w:t>
                  </w:r>
                </w:p>
                <w:p w:rsidR="00391E99" w:rsidRDefault="00391E99" w:rsidP="000E26FD">
                  <w:pPr>
                    <w:pStyle w:val="a3"/>
                    <w:numPr>
                      <w:ilvl w:val="0"/>
                      <w:numId w:val="2"/>
                    </w:numPr>
                    <w:ind w:left="0" w:firstLine="42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цена не главное</w:t>
                  </w:r>
                </w:p>
                <w:p w:rsidR="00391E99" w:rsidRDefault="00391E99" w:rsidP="000E26FD">
                  <w:pPr>
                    <w:pStyle w:val="a3"/>
                    <w:numPr>
                      <w:ilvl w:val="0"/>
                      <w:numId w:val="2"/>
                    </w:numPr>
                    <w:ind w:left="0" w:firstLine="42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участник может предложить только одну цену контракта</w:t>
                  </w:r>
                </w:p>
                <w:p w:rsidR="00391E99" w:rsidRPr="00C72B43" w:rsidRDefault="00391E99" w:rsidP="000E26FD">
                  <w:pPr>
                    <w:pStyle w:val="a3"/>
                    <w:numPr>
                      <w:ilvl w:val="0"/>
                      <w:numId w:val="2"/>
                    </w:numPr>
                    <w:ind w:left="0" w:firstLine="42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72B43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участник, предлагая свою цену</w:t>
                  </w:r>
                  <w:r w:rsidR="00A76C3A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C72B4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не знает цены конкурентов</w:t>
                  </w:r>
                </w:p>
              </w:tc>
              <w:tc>
                <w:tcPr>
                  <w:tcW w:w="2551" w:type="dxa"/>
                </w:tcPr>
                <w:p w:rsidR="00391E99" w:rsidRPr="00064430" w:rsidRDefault="00391E99" w:rsidP="000E26FD">
                  <w:pPr>
                    <w:numPr>
                      <w:ilvl w:val="0"/>
                      <w:numId w:val="2"/>
                    </w:numPr>
                    <w:ind w:left="0" w:firstLine="42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06443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точно знаем, что хотим купить</w:t>
                  </w:r>
                </w:p>
                <w:p w:rsidR="00391E99" w:rsidRDefault="00391E99" w:rsidP="000E26FD">
                  <w:pPr>
                    <w:numPr>
                      <w:ilvl w:val="0"/>
                      <w:numId w:val="2"/>
                    </w:numPr>
                    <w:ind w:left="0" w:firstLine="42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06443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хотим купить быстро</w:t>
                  </w:r>
                </w:p>
                <w:p w:rsidR="00391E99" w:rsidRPr="00C72B43" w:rsidRDefault="00391E99" w:rsidP="000E26FD">
                  <w:pPr>
                    <w:numPr>
                      <w:ilvl w:val="0"/>
                      <w:numId w:val="2"/>
                    </w:numPr>
                    <w:ind w:left="0" w:firstLine="42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2B4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как можно дешевле</w:t>
                  </w:r>
                </w:p>
              </w:tc>
              <w:tc>
                <w:tcPr>
                  <w:tcW w:w="2551" w:type="dxa"/>
                </w:tcPr>
                <w:p w:rsidR="00391E99" w:rsidRPr="00064430" w:rsidRDefault="00391E99" w:rsidP="000E26FD">
                  <w:pPr>
                    <w:numPr>
                      <w:ilvl w:val="0"/>
                      <w:numId w:val="2"/>
                    </w:numPr>
                    <w:ind w:left="0" w:firstLine="42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06443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хотим купить быстро</w:t>
                  </w:r>
                </w:p>
                <w:p w:rsidR="00391E99" w:rsidRDefault="00391E99" w:rsidP="000E26FD">
                  <w:pPr>
                    <w:numPr>
                      <w:ilvl w:val="0"/>
                      <w:numId w:val="2"/>
                    </w:numPr>
                    <w:ind w:left="0" w:firstLine="42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06443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не знаем точные характеристики, но хотим купить </w:t>
                  </w:r>
                  <w:r w:rsidRPr="00064430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лучшее</w:t>
                  </w:r>
                </w:p>
                <w:p w:rsidR="00391E99" w:rsidRPr="00C72B43" w:rsidRDefault="00391E99" w:rsidP="000E26FD">
                  <w:pPr>
                    <w:numPr>
                      <w:ilvl w:val="0"/>
                      <w:numId w:val="2"/>
                    </w:numPr>
                    <w:ind w:left="0" w:firstLine="426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C72B43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как можно дешевле, но не обязательно по самой лучшей цене</w:t>
                  </w:r>
                </w:p>
              </w:tc>
            </w:tr>
          </w:tbl>
          <w:p w:rsidR="00391E99" w:rsidRDefault="00391E99" w:rsidP="000E26FD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376B" w:rsidTr="009260C0">
        <w:tc>
          <w:tcPr>
            <w:tcW w:w="10490" w:type="dxa"/>
            <w:gridSpan w:val="3"/>
          </w:tcPr>
          <w:p w:rsidR="00C0376B" w:rsidRPr="00C0376B" w:rsidRDefault="00C0376B" w:rsidP="00273645">
            <w:pPr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A606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Закупка у единственного поставщика</w:t>
            </w:r>
            <w:r w:rsidRPr="009A60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— это способ закупки, при котором договор заключается с конкретным поставщиком на</w:t>
            </w:r>
            <w:r w:rsidR="002736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определенную</w:t>
            </w:r>
            <w:r w:rsidRPr="009A60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сумму, не превышающую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73645">
              <w:rPr>
                <w:rFonts w:ascii="Times New Roman" w:eastAsia="Calibri" w:hAnsi="Times New Roman" w:cs="Times New Roman"/>
                <w:sz w:val="26"/>
                <w:szCs w:val="26"/>
              </w:rPr>
              <w:t>законом,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одному договору.</w:t>
            </w:r>
          </w:p>
        </w:tc>
      </w:tr>
      <w:tr w:rsidR="00C0376B" w:rsidTr="009260C0">
        <w:tc>
          <w:tcPr>
            <w:tcW w:w="4820" w:type="dxa"/>
            <w:gridSpan w:val="2"/>
          </w:tcPr>
          <w:p w:rsidR="00C0376B" w:rsidRDefault="00C0376B" w:rsidP="000E26FD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Договор не должен превышать </w:t>
            </w:r>
            <w:r w:rsidRPr="009A60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600 000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руб.</w:t>
            </w:r>
          </w:p>
          <w:p w:rsidR="00C0376B" w:rsidRDefault="00C0376B" w:rsidP="000E26FD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26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этом </w:t>
            </w:r>
            <w:r w:rsidR="009D5CED" w:rsidRPr="001C265D">
              <w:rPr>
                <w:rFonts w:ascii="Times New Roman" w:eastAsia="Calibri" w:hAnsi="Times New Roman" w:cs="Times New Roman"/>
                <w:sz w:val="26"/>
                <w:szCs w:val="26"/>
              </w:rPr>
              <w:t>годовой объе</w:t>
            </w:r>
            <w:r w:rsidR="001C265D" w:rsidRPr="001C265D">
              <w:rPr>
                <w:rFonts w:ascii="Times New Roman" w:eastAsia="Calibri" w:hAnsi="Times New Roman" w:cs="Times New Roman"/>
                <w:sz w:val="26"/>
                <w:szCs w:val="26"/>
              </w:rPr>
              <w:t>м закупок у единственного поставщика не должен превышать 2</w:t>
            </w:r>
            <w:r w:rsidR="009D5CED" w:rsidRPr="001C26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млн. руб.</w:t>
            </w:r>
            <w:r w:rsidR="001C265D" w:rsidRPr="001C26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</w:t>
            </w:r>
            <w:r w:rsidRPr="001C26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10 %</w:t>
            </w:r>
            <w:r w:rsidR="009D5CED" w:rsidRPr="001C26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СГОЗ и </w:t>
            </w:r>
            <w:r w:rsidR="001C265D" w:rsidRPr="001C26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должен составлять не более </w:t>
            </w:r>
            <w:r w:rsidR="009D5CED" w:rsidRPr="001C265D">
              <w:rPr>
                <w:rFonts w:ascii="Times New Roman" w:eastAsia="Calibri" w:hAnsi="Times New Roman" w:cs="Times New Roman"/>
                <w:sz w:val="26"/>
                <w:szCs w:val="26"/>
              </w:rPr>
              <w:t>50 млн. руб.</w:t>
            </w:r>
          </w:p>
          <w:p w:rsidR="00AA3F64" w:rsidRPr="001C265D" w:rsidRDefault="00AA3F64" w:rsidP="001C265D">
            <w:pPr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9A60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лучаи осуществления закупки у единственного поставщика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установлены</w:t>
            </w:r>
            <w:r w:rsidR="001C26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ст. 93.</w:t>
            </w:r>
          </w:p>
        </w:tc>
        <w:tc>
          <w:tcPr>
            <w:tcW w:w="5670" w:type="dxa"/>
          </w:tcPr>
          <w:p w:rsidR="00C0376B" w:rsidRDefault="00C0376B" w:rsidP="000E26FD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Заказчик самостоятельно </w:t>
            </w:r>
            <w:r w:rsidRPr="009A6068">
              <w:rPr>
                <w:rFonts w:ascii="Times New Roman" w:eastAsia="Calibri" w:hAnsi="Times New Roman" w:cs="Times New Roman"/>
                <w:sz w:val="26"/>
                <w:szCs w:val="26"/>
              </w:rPr>
              <w:t>устанавливает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A6068">
              <w:rPr>
                <w:rFonts w:ascii="Times New Roman" w:eastAsia="Calibri" w:hAnsi="Times New Roman" w:cs="Times New Roman"/>
                <w:sz w:val="26"/>
                <w:szCs w:val="26"/>
              </w:rPr>
              <w:t>предельную сумму закупок, осуществляемую у единственного поставщика по одному договору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C607AF" w:rsidRPr="00C607AF" w:rsidRDefault="00C607AF" w:rsidP="000E26FD">
            <w:pPr>
              <w:ind w:firstLine="426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</w:pPr>
            <w:r w:rsidRPr="00C607AF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Администрация г. Курска установила Типовое положение для заказчиков по г. Курску:</w:t>
            </w:r>
          </w:p>
          <w:p w:rsidR="00130822" w:rsidRPr="00C607AF" w:rsidRDefault="00130822" w:rsidP="000E26FD">
            <w:pPr>
              <w:ind w:firstLine="426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607A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СГОЗ у единственного поставщика не должен превышать 30 % размера средств.</w:t>
            </w:r>
          </w:p>
          <w:p w:rsidR="00AA3F64" w:rsidRPr="00C607AF" w:rsidRDefault="00AA3F64" w:rsidP="000E26FD">
            <w:pPr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607A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Случаи закупки у единственного поставщика:</w:t>
            </w:r>
          </w:p>
          <w:p w:rsidR="00AA3F64" w:rsidRPr="00C607AF" w:rsidRDefault="00AA3F64" w:rsidP="000E26FD">
            <w:pPr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607A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1)</w:t>
            </w:r>
            <w:r w:rsidRPr="00C607A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ab/>
              <w:t>признание конкурентной закупки несостоявшейся (не подано ни одной заявки; комиссия приняла решение об отказе в допуске к участию всех участников);</w:t>
            </w:r>
          </w:p>
          <w:p w:rsidR="00AA3F64" w:rsidRPr="00AA3F64" w:rsidRDefault="00AA3F64" w:rsidP="000E26FD">
            <w:pPr>
              <w:ind w:firstLine="426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07A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2)</w:t>
            </w:r>
            <w:r w:rsidRPr="00C607A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ab/>
              <w:t>подана только одна заявка, которая признана соответствующей требованиям, либо только одна заявка признана соответствующей требованиям.</w:t>
            </w:r>
          </w:p>
        </w:tc>
      </w:tr>
    </w:tbl>
    <w:p w:rsidR="008E1E33" w:rsidRPr="00831FAD" w:rsidRDefault="008E1E33" w:rsidP="000E26FD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1FAD">
        <w:rPr>
          <w:rFonts w:ascii="Times New Roman" w:hAnsi="Times New Roman" w:cs="Times New Roman"/>
          <w:b/>
          <w:sz w:val="26"/>
          <w:szCs w:val="26"/>
        </w:rPr>
        <w:t>Этапы закупки</w:t>
      </w:r>
    </w:p>
    <w:p w:rsidR="008E1E33" w:rsidRPr="00831FAD" w:rsidRDefault="008E1E33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sz w:val="26"/>
          <w:szCs w:val="26"/>
        </w:rPr>
        <w:t xml:space="preserve">1. </w:t>
      </w:r>
      <w:r w:rsidRPr="00831FAD">
        <w:rPr>
          <w:rFonts w:ascii="Times New Roman" w:hAnsi="Times New Roman" w:cs="Times New Roman"/>
          <w:sz w:val="26"/>
          <w:szCs w:val="26"/>
          <w:u w:val="single"/>
        </w:rPr>
        <w:t>План-график</w:t>
      </w:r>
      <w:r w:rsidR="00AB6702" w:rsidRPr="00831FAD">
        <w:rPr>
          <w:rFonts w:ascii="Times New Roman" w:hAnsi="Times New Roman" w:cs="Times New Roman"/>
          <w:sz w:val="26"/>
          <w:szCs w:val="26"/>
        </w:rPr>
        <w:t xml:space="preserve">. С его помощью </w:t>
      </w:r>
      <w:proofErr w:type="gramStart"/>
      <w:r w:rsidR="00AB6702" w:rsidRPr="00831FAD">
        <w:rPr>
          <w:rFonts w:ascii="Times New Roman" w:hAnsi="Times New Roman" w:cs="Times New Roman"/>
          <w:sz w:val="26"/>
          <w:szCs w:val="26"/>
        </w:rPr>
        <w:t>поставщики</w:t>
      </w:r>
      <w:proofErr w:type="gramEnd"/>
      <w:r w:rsidR="00AB6702" w:rsidRPr="00831FAD">
        <w:rPr>
          <w:rFonts w:ascii="Times New Roman" w:hAnsi="Times New Roman" w:cs="Times New Roman"/>
          <w:sz w:val="26"/>
          <w:szCs w:val="26"/>
        </w:rPr>
        <w:t xml:space="preserve"> могут посмотреть </w:t>
      </w:r>
      <w:proofErr w:type="gramStart"/>
      <w:r w:rsidR="00AB6702" w:rsidRPr="00831FAD"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 w:rsidR="00AB6702" w:rsidRPr="00831FAD">
        <w:rPr>
          <w:rFonts w:ascii="Times New Roman" w:hAnsi="Times New Roman" w:cs="Times New Roman"/>
          <w:sz w:val="26"/>
          <w:szCs w:val="26"/>
        </w:rPr>
        <w:t xml:space="preserve"> заказчики и когда планируют закупку тех или иных товаров.</w:t>
      </w:r>
    </w:p>
    <w:p w:rsidR="008E1E33" w:rsidRPr="00831FAD" w:rsidRDefault="008E1E33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sz w:val="26"/>
          <w:szCs w:val="26"/>
        </w:rPr>
        <w:t xml:space="preserve">2. </w:t>
      </w:r>
      <w:r w:rsidRPr="00831FAD">
        <w:rPr>
          <w:rFonts w:ascii="Times New Roman" w:hAnsi="Times New Roman" w:cs="Times New Roman"/>
          <w:sz w:val="26"/>
          <w:szCs w:val="26"/>
          <w:u w:val="single"/>
        </w:rPr>
        <w:t>Извещение</w:t>
      </w:r>
      <w:r w:rsidR="00AB6702" w:rsidRPr="00831FAD">
        <w:rPr>
          <w:rFonts w:ascii="Times New Roman" w:hAnsi="Times New Roman" w:cs="Times New Roman"/>
          <w:sz w:val="26"/>
          <w:szCs w:val="26"/>
        </w:rPr>
        <w:t xml:space="preserve"> содержит всю информацию о конкретной закупке: наименование товара, его характеристики, требования к заказчикам и т.д.</w:t>
      </w:r>
    </w:p>
    <w:p w:rsidR="007052BE" w:rsidRPr="00831FAD" w:rsidRDefault="008E1E33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sz w:val="26"/>
          <w:szCs w:val="26"/>
        </w:rPr>
        <w:t xml:space="preserve">3. </w:t>
      </w:r>
      <w:r w:rsidRPr="00831FAD">
        <w:rPr>
          <w:rFonts w:ascii="Times New Roman" w:hAnsi="Times New Roman" w:cs="Times New Roman"/>
          <w:sz w:val="26"/>
          <w:szCs w:val="26"/>
          <w:u w:val="single"/>
        </w:rPr>
        <w:t>Заявки участников</w:t>
      </w:r>
      <w:r w:rsidR="007052BE" w:rsidRPr="00831FAD"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514"/>
        <w:gridCol w:w="4976"/>
      </w:tblGrid>
      <w:tr w:rsidR="007052BE" w:rsidRPr="00831FAD" w:rsidTr="009260C0">
        <w:tc>
          <w:tcPr>
            <w:tcW w:w="5514" w:type="dxa"/>
          </w:tcPr>
          <w:p w:rsidR="007052BE" w:rsidRPr="00831FAD" w:rsidRDefault="007052BE" w:rsidP="000E26FD">
            <w:pPr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FAD">
              <w:rPr>
                <w:rFonts w:ascii="Times New Roman" w:hAnsi="Times New Roman" w:cs="Times New Roman"/>
                <w:b/>
                <w:sz w:val="26"/>
                <w:szCs w:val="26"/>
              </w:rPr>
              <w:t>44 ФЗ</w:t>
            </w:r>
          </w:p>
        </w:tc>
        <w:tc>
          <w:tcPr>
            <w:tcW w:w="4976" w:type="dxa"/>
          </w:tcPr>
          <w:p w:rsidR="007052BE" w:rsidRPr="00831FAD" w:rsidRDefault="007052BE" w:rsidP="000E26FD">
            <w:pPr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FAD">
              <w:rPr>
                <w:rFonts w:ascii="Times New Roman" w:hAnsi="Times New Roman" w:cs="Times New Roman"/>
                <w:b/>
                <w:sz w:val="26"/>
                <w:szCs w:val="26"/>
              </w:rPr>
              <w:t>223 ФЗ</w:t>
            </w:r>
          </w:p>
        </w:tc>
      </w:tr>
      <w:tr w:rsidR="007052BE" w:rsidRPr="00831FAD" w:rsidTr="009260C0">
        <w:tc>
          <w:tcPr>
            <w:tcW w:w="5514" w:type="dxa"/>
          </w:tcPr>
          <w:p w:rsidR="00916B07" w:rsidRPr="00831FAD" w:rsidRDefault="007052BE" w:rsidP="000E26FD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FAD">
              <w:rPr>
                <w:rFonts w:ascii="Times New Roman" w:hAnsi="Times New Roman" w:cs="Times New Roman"/>
                <w:sz w:val="26"/>
                <w:szCs w:val="26"/>
              </w:rPr>
              <w:t>Заказчик может не устанавливать обесп</w:t>
            </w:r>
            <w:r w:rsidR="00916B07" w:rsidRPr="00831FAD">
              <w:rPr>
                <w:rFonts w:ascii="Times New Roman" w:hAnsi="Times New Roman" w:cs="Times New Roman"/>
                <w:sz w:val="26"/>
                <w:szCs w:val="26"/>
              </w:rPr>
              <w:t xml:space="preserve">ечение в закупках </w:t>
            </w:r>
            <w:r w:rsidR="00794B00">
              <w:rPr>
                <w:rFonts w:ascii="Times New Roman" w:hAnsi="Times New Roman" w:cs="Times New Roman"/>
                <w:sz w:val="26"/>
                <w:szCs w:val="26"/>
              </w:rPr>
              <w:t xml:space="preserve">при НМЦК </w:t>
            </w:r>
            <w:r w:rsidR="00916B07" w:rsidRPr="00831FAD">
              <w:rPr>
                <w:rFonts w:ascii="Times New Roman" w:hAnsi="Times New Roman" w:cs="Times New Roman"/>
                <w:sz w:val="26"/>
                <w:szCs w:val="26"/>
              </w:rPr>
              <w:t xml:space="preserve">до 1 </w:t>
            </w:r>
            <w:proofErr w:type="gramStart"/>
            <w:r w:rsidR="00916B07" w:rsidRPr="00831FAD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="00916B07" w:rsidRPr="00831FAD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052BE" w:rsidRPr="00831FAD" w:rsidRDefault="007052BE" w:rsidP="000E26FD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FAD">
              <w:rPr>
                <w:rFonts w:ascii="Times New Roman" w:hAnsi="Times New Roman" w:cs="Times New Roman"/>
                <w:sz w:val="26"/>
                <w:szCs w:val="26"/>
              </w:rPr>
              <w:t xml:space="preserve">В случае, если обеспечение заявки установлено, оно будет таким: от 0,5 до 1 %, если НМЦК до 20 </w:t>
            </w:r>
            <w:proofErr w:type="gramStart"/>
            <w:r w:rsidRPr="00831FAD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Pr="00831FAD">
              <w:rPr>
                <w:rFonts w:ascii="Times New Roman" w:hAnsi="Times New Roman" w:cs="Times New Roman"/>
                <w:sz w:val="26"/>
                <w:szCs w:val="26"/>
              </w:rPr>
              <w:t xml:space="preserve"> руб.; от 0,5 до 5 %, если НМЦК от 20 млн руб.; 2 %, если НМЦК от 20 млн и действуют преференции для УИС и организаций инвалидов.</w:t>
            </w:r>
          </w:p>
          <w:p w:rsidR="007052BE" w:rsidRDefault="007052BE" w:rsidP="007C0BD5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FA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заявки можно предоставить в виде </w:t>
            </w:r>
            <w:r w:rsidRPr="00794B0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независимой</w:t>
            </w:r>
            <w:r w:rsidRPr="00831FAD">
              <w:rPr>
                <w:rFonts w:ascii="Times New Roman" w:hAnsi="Times New Roman" w:cs="Times New Roman"/>
                <w:sz w:val="26"/>
                <w:szCs w:val="26"/>
              </w:rPr>
              <w:t xml:space="preserve"> гарантии или</w:t>
            </w:r>
            <w:r w:rsidR="007C0BD5">
              <w:rPr>
                <w:rFonts w:ascii="Times New Roman" w:hAnsi="Times New Roman" w:cs="Times New Roman"/>
                <w:sz w:val="26"/>
                <w:szCs w:val="26"/>
              </w:rPr>
              <w:t xml:space="preserve"> перечислив деньги на </w:t>
            </w:r>
            <w:proofErr w:type="spellStart"/>
            <w:r w:rsidR="007C0BD5">
              <w:rPr>
                <w:rFonts w:ascii="Times New Roman" w:hAnsi="Times New Roman" w:cs="Times New Roman"/>
                <w:sz w:val="26"/>
                <w:szCs w:val="26"/>
              </w:rPr>
              <w:t>спецсчет</w:t>
            </w:r>
            <w:proofErr w:type="spellEnd"/>
            <w:r w:rsidR="007C0B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B546E" w:rsidRPr="007C0BD5" w:rsidRDefault="006B546E" w:rsidP="007C0BD5">
            <w:pPr>
              <w:ind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F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Независимая гарантия должна быть выдана уполномоченным на это банком (перечень банков опубликован на сайте Минфина) или специальной организацией (Государственная корпорация развития «ВЭБ</w:t>
            </w:r>
            <w:proofErr w:type="gramStart"/>
            <w:r w:rsidRPr="00831F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.Р</w:t>
            </w:r>
            <w:proofErr w:type="gramEnd"/>
            <w:r w:rsidRPr="00831F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Ф»; фонды содействия кредитованию, являющиеся участниками национальной гарантийной системы поддержки малого и среднего предпринимательства); Евразийский банк развития (только участникам из ЕАЭС кроме России)). Гарантии вносят в реестр независимых гарантий, а для закрытых конкурентных процедур предусмотрен специальный закрытый реестр.</w:t>
            </w:r>
          </w:p>
        </w:tc>
        <w:tc>
          <w:tcPr>
            <w:tcW w:w="4976" w:type="dxa"/>
          </w:tcPr>
          <w:p w:rsidR="007052BE" w:rsidRPr="00831FAD" w:rsidRDefault="00916B07" w:rsidP="007C0BD5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Заказчики не могут требовать обеспечение заявки при НМЦК &lt; 5 </w:t>
            </w:r>
            <w:proofErr w:type="gramStart"/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млн</w:t>
            </w:r>
            <w:proofErr w:type="gramEnd"/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руб. При НМЦК выше заказчик 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может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установить размер обеспечения не больше 5% от НМЦК. Участники сами выбирают способ обеспечения: 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банковская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гаранти</w:t>
            </w:r>
            <w:r w:rsidR="007C0BD5">
              <w:rPr>
                <w:rFonts w:ascii="Times New Roman" w:eastAsia="Calibri" w:hAnsi="Times New Roman" w:cs="Times New Roman"/>
                <w:sz w:val="26"/>
                <w:szCs w:val="26"/>
              </w:rPr>
              <w:t>я или деньги на счет заказчика.</w:t>
            </w:r>
          </w:p>
        </w:tc>
      </w:tr>
    </w:tbl>
    <w:p w:rsidR="008E1E33" w:rsidRPr="00831FAD" w:rsidRDefault="008E1E33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Pr="00831FAD">
        <w:rPr>
          <w:rFonts w:ascii="Times New Roman" w:hAnsi="Times New Roman" w:cs="Times New Roman"/>
          <w:sz w:val="26"/>
          <w:szCs w:val="26"/>
          <w:u w:val="single"/>
        </w:rPr>
        <w:t>Торги</w:t>
      </w:r>
      <w:r w:rsidR="00E23E14" w:rsidRPr="00831FAD">
        <w:rPr>
          <w:rFonts w:ascii="Times New Roman" w:hAnsi="Times New Roman" w:cs="Times New Roman"/>
          <w:sz w:val="26"/>
          <w:szCs w:val="26"/>
        </w:rPr>
        <w:t xml:space="preserve"> – участники подают свои ценовые предложения.</w:t>
      </w:r>
    </w:p>
    <w:p w:rsidR="008E1E33" w:rsidRPr="00831FAD" w:rsidRDefault="008E1E33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sz w:val="26"/>
          <w:szCs w:val="26"/>
        </w:rPr>
        <w:t xml:space="preserve">5. </w:t>
      </w:r>
      <w:r w:rsidRPr="00831FAD">
        <w:rPr>
          <w:rFonts w:ascii="Times New Roman" w:hAnsi="Times New Roman" w:cs="Times New Roman"/>
          <w:sz w:val="26"/>
          <w:szCs w:val="26"/>
          <w:u w:val="single"/>
        </w:rPr>
        <w:t>Определение победителя</w:t>
      </w:r>
      <w:r w:rsidR="00114CFD" w:rsidRPr="00831FAD">
        <w:rPr>
          <w:rFonts w:ascii="Times New Roman" w:hAnsi="Times New Roman" w:cs="Times New Roman"/>
          <w:sz w:val="26"/>
          <w:szCs w:val="26"/>
        </w:rPr>
        <w:t>. Победителем</w:t>
      </w:r>
      <w:r w:rsidR="00E23E14" w:rsidRPr="00831FAD">
        <w:rPr>
          <w:rFonts w:ascii="Times New Roman" w:hAnsi="Times New Roman" w:cs="Times New Roman"/>
          <w:sz w:val="26"/>
          <w:szCs w:val="26"/>
        </w:rPr>
        <w:t xml:space="preserve"> становится участник, отвечающий требованиям, установленным извещением и предложивш</w:t>
      </w:r>
      <w:r w:rsidR="00114CFD" w:rsidRPr="00831FAD">
        <w:rPr>
          <w:rFonts w:ascii="Times New Roman" w:hAnsi="Times New Roman" w:cs="Times New Roman"/>
          <w:sz w:val="26"/>
          <w:szCs w:val="26"/>
        </w:rPr>
        <w:t xml:space="preserve">ий </w:t>
      </w:r>
      <w:r w:rsidR="00E23E14" w:rsidRPr="00831FAD">
        <w:rPr>
          <w:rFonts w:ascii="Times New Roman" w:hAnsi="Times New Roman" w:cs="Times New Roman"/>
          <w:sz w:val="26"/>
          <w:szCs w:val="26"/>
        </w:rPr>
        <w:t>самые выгодные условия: в зависимости от вида торгов это может быть наименьшая цена (аукцион) и (или) лучшие условия (запрос котировок; конкурс).</w:t>
      </w:r>
    </w:p>
    <w:p w:rsidR="008E1E33" w:rsidRPr="00831FAD" w:rsidRDefault="008E1E33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sz w:val="26"/>
          <w:szCs w:val="26"/>
        </w:rPr>
        <w:t xml:space="preserve">6. </w:t>
      </w:r>
      <w:r w:rsidRPr="00831FAD">
        <w:rPr>
          <w:rFonts w:ascii="Times New Roman" w:hAnsi="Times New Roman" w:cs="Times New Roman"/>
          <w:sz w:val="26"/>
          <w:szCs w:val="26"/>
          <w:u w:val="single"/>
        </w:rPr>
        <w:t>Заключение контракта</w:t>
      </w:r>
      <w:r w:rsidR="00AD56A6" w:rsidRPr="00831FA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510"/>
        <w:gridCol w:w="4980"/>
      </w:tblGrid>
      <w:tr w:rsidR="00AD56A6" w:rsidRPr="00831FAD" w:rsidTr="009260C0">
        <w:tc>
          <w:tcPr>
            <w:tcW w:w="5510" w:type="dxa"/>
          </w:tcPr>
          <w:p w:rsidR="00AD56A6" w:rsidRPr="00831FAD" w:rsidRDefault="00AD56A6" w:rsidP="000E26FD">
            <w:pPr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FAD">
              <w:rPr>
                <w:rFonts w:ascii="Times New Roman" w:hAnsi="Times New Roman" w:cs="Times New Roman"/>
                <w:b/>
                <w:sz w:val="26"/>
                <w:szCs w:val="26"/>
              </w:rPr>
              <w:t>44 ФЗ</w:t>
            </w:r>
          </w:p>
        </w:tc>
        <w:tc>
          <w:tcPr>
            <w:tcW w:w="4980" w:type="dxa"/>
          </w:tcPr>
          <w:p w:rsidR="00AD56A6" w:rsidRPr="00831FAD" w:rsidRDefault="00AD56A6" w:rsidP="000E26FD">
            <w:pPr>
              <w:ind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FAD">
              <w:rPr>
                <w:rFonts w:ascii="Times New Roman" w:hAnsi="Times New Roman" w:cs="Times New Roman"/>
                <w:b/>
                <w:sz w:val="26"/>
                <w:szCs w:val="26"/>
              </w:rPr>
              <w:t>223 ФЗ</w:t>
            </w:r>
          </w:p>
        </w:tc>
      </w:tr>
      <w:tr w:rsidR="00AD56A6" w:rsidRPr="00831FAD" w:rsidTr="009260C0">
        <w:tc>
          <w:tcPr>
            <w:tcW w:w="5510" w:type="dxa"/>
          </w:tcPr>
          <w:p w:rsidR="00AD56A6" w:rsidRPr="00831FAD" w:rsidRDefault="00AD56A6" w:rsidP="000E26FD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Заказчик обязан требовать от победителя конкурса или аукциона финансовое обеспечение контракта, независимо от его цены. При проведении запроса котировок и закупок у единственного поставщика в случаях, установленных ч. 2 ст. 96 ФЗ 44, установление обеспечения контракта – это право заказчика, а не обязанность.</w:t>
            </w:r>
          </w:p>
          <w:p w:rsidR="00AD56A6" w:rsidRPr="00831FAD" w:rsidRDefault="00AD56A6" w:rsidP="000E26FD">
            <w:pPr>
              <w:ind w:firstLine="426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31FA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НО!</w:t>
            </w:r>
            <w:r w:rsidRPr="00831FAD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Согласно п. 64.1 ст. 112 ФЗ 44, до 31 декабря 2022 г. заказчик вправе не устанавливать обеспечение исполнения контракта при любом способе закупки, кроме случая, когда предусмотрен аванс.</w:t>
            </w:r>
          </w:p>
          <w:p w:rsidR="00AD56A6" w:rsidRPr="006B546E" w:rsidRDefault="00AD56A6" w:rsidP="006B546E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Размер обеспечения составляет от 0,5 до 30 % от НМЦК. Способ обеспечения выбирает сам поставщик: внести дене</w:t>
            </w:r>
            <w:r w:rsidR="00195719"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жные средства на счет заказчика или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</w:t>
            </w:r>
            <w:r w:rsidR="00195719"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едоставить независимую гарантию.</w:t>
            </w:r>
          </w:p>
        </w:tc>
        <w:tc>
          <w:tcPr>
            <w:tcW w:w="4980" w:type="dxa"/>
          </w:tcPr>
          <w:p w:rsidR="00C213CB" w:rsidRPr="00831FAD" w:rsidRDefault="002538E7" w:rsidP="000E26FD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Заказчик сам решает, в каких закупках </w:t>
            </w:r>
            <w:r w:rsidR="006B546E">
              <w:rPr>
                <w:rFonts w:ascii="Times New Roman" w:eastAsia="Calibri" w:hAnsi="Times New Roman" w:cs="Times New Roman"/>
                <w:sz w:val="26"/>
                <w:szCs w:val="26"/>
              </w:rPr>
              <w:t>требовать обеспечение контракта и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каком размере, но в</w:t>
            </w:r>
            <w:r w:rsidR="00C213CB"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пределах от 5 до 30 % от НМЦК.</w:t>
            </w:r>
          </w:p>
          <w:p w:rsidR="006B546E" w:rsidRDefault="002538E7" w:rsidP="00072693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В случае</w:t>
            </w:r>
            <w:proofErr w:type="gramStart"/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proofErr w:type="gramEnd"/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если НМЦК превышает 50 млн. руб., заказчик обязан установить требование обеспечен</w:t>
            </w:r>
            <w:r w:rsidR="00072693">
              <w:rPr>
                <w:rFonts w:ascii="Times New Roman" w:eastAsia="Calibri" w:hAnsi="Times New Roman" w:cs="Times New Roman"/>
                <w:sz w:val="26"/>
                <w:szCs w:val="26"/>
              </w:rPr>
              <w:t>ие договора от 10 до 30 % НМЦК.</w:t>
            </w:r>
          </w:p>
          <w:p w:rsidR="00AD56A6" w:rsidRPr="00831FAD" w:rsidRDefault="006B546E" w:rsidP="006B546E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Способ обеспечения выбирает участник: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деньг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на </w:t>
            </w:r>
            <w:proofErr w:type="spellStart"/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спецсчет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ковская или независимая гарантия (для СМП).</w:t>
            </w:r>
          </w:p>
        </w:tc>
      </w:tr>
      <w:tr w:rsidR="00051088" w:rsidRPr="00831FAD" w:rsidTr="009260C0">
        <w:tc>
          <w:tcPr>
            <w:tcW w:w="10490" w:type="dxa"/>
            <w:gridSpan w:val="2"/>
          </w:tcPr>
          <w:p w:rsidR="00051088" w:rsidRPr="00831FAD" w:rsidRDefault="00051088" w:rsidP="006B546E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FA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Антидемпинговые меры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повышенное обеспечение контракта, </w:t>
            </w:r>
            <w:r w:rsidR="00C34B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при аукционе или конкурсе более 15 000 000 руб., </w:t>
            </w:r>
            <w:r w:rsidR="006B546E"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при снижении цены закупки во время торгов</w:t>
            </w:r>
            <w:r w:rsidR="006B546E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6B546E"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которое может быть предусмотрено заказчиком.</w:t>
            </w:r>
          </w:p>
        </w:tc>
      </w:tr>
      <w:tr w:rsidR="002538E7" w:rsidRPr="00831FAD" w:rsidTr="009260C0">
        <w:tc>
          <w:tcPr>
            <w:tcW w:w="5510" w:type="dxa"/>
          </w:tcPr>
          <w:p w:rsidR="002538E7" w:rsidRPr="00831FAD" w:rsidRDefault="00051088" w:rsidP="008C71B1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Если итоговая цена зак</w:t>
            </w:r>
            <w:r w:rsidR="00121EA8"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упки будет на 25% ниже от НМЦК – в 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1,5 раза</w:t>
            </w:r>
            <w:r w:rsidR="00121EA8"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больше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размер</w:t>
            </w:r>
            <w:r w:rsidR="00121EA8"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обеспечения</w:t>
            </w:r>
            <w:r w:rsidR="00121EA8"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исполнения контракта, указанного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извещении об осуществлении закупки, но не менее чем 10 % от НМЦК или</w:t>
            </w:r>
            <w:r w:rsidR="00121EA8"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8C71B1">
              <w:rPr>
                <w:rFonts w:ascii="Times New Roman" w:eastAsia="Calibri" w:hAnsi="Times New Roman" w:cs="Times New Roman"/>
                <w:sz w:val="26"/>
                <w:szCs w:val="26"/>
              </w:rPr>
              <w:t>от цены заключаемого контракта.</w:t>
            </w:r>
          </w:p>
        </w:tc>
        <w:tc>
          <w:tcPr>
            <w:tcW w:w="4980" w:type="dxa"/>
          </w:tcPr>
          <w:p w:rsidR="00262AB7" w:rsidRPr="00831FAD" w:rsidRDefault="00262AB7" w:rsidP="00D76187">
            <w:pPr>
              <w:ind w:firstLine="42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2A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Заказчик вправе определить виды закупок, в которых применяется </w:t>
            </w:r>
            <w:proofErr w:type="spellStart"/>
            <w:r w:rsidRPr="00262AB7">
              <w:rPr>
                <w:rFonts w:ascii="Times New Roman" w:eastAsia="Calibri" w:hAnsi="Times New Roman" w:cs="Times New Roman"/>
                <w:sz w:val="26"/>
                <w:szCs w:val="26"/>
              </w:rPr>
              <w:t>антидемпинг</w:t>
            </w:r>
            <w:proofErr w:type="spellEnd"/>
            <w:r w:rsidR="00D7618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 учетом положений, предусмотренных 44 ФЗ.</w:t>
            </w:r>
          </w:p>
        </w:tc>
      </w:tr>
    </w:tbl>
    <w:p w:rsidR="00304188" w:rsidRDefault="00304188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04188" w:rsidRDefault="00304188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E1E33" w:rsidRPr="00831FAD" w:rsidRDefault="008E1E33" w:rsidP="000E26F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31FAD">
        <w:rPr>
          <w:rFonts w:ascii="Times New Roman" w:hAnsi="Times New Roman" w:cs="Times New Roman"/>
          <w:sz w:val="26"/>
          <w:szCs w:val="26"/>
        </w:rPr>
        <w:lastRenderedPageBreak/>
        <w:t xml:space="preserve">7. </w:t>
      </w:r>
      <w:r w:rsidRPr="00831FAD">
        <w:rPr>
          <w:rFonts w:ascii="Times New Roman" w:hAnsi="Times New Roman" w:cs="Times New Roman"/>
          <w:sz w:val="26"/>
          <w:szCs w:val="26"/>
          <w:u w:val="single"/>
        </w:rPr>
        <w:t>Исполнение контракта</w:t>
      </w:r>
    </w:p>
    <w:p w:rsidR="00521940" w:rsidRPr="00831FAD" w:rsidRDefault="008E1E33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hAnsi="Times New Roman" w:cs="Times New Roman"/>
          <w:sz w:val="26"/>
          <w:szCs w:val="26"/>
        </w:rPr>
        <w:t xml:space="preserve">8. </w:t>
      </w:r>
      <w:r w:rsidRPr="00831FAD">
        <w:rPr>
          <w:rFonts w:ascii="Times New Roman" w:hAnsi="Times New Roman" w:cs="Times New Roman"/>
          <w:sz w:val="26"/>
          <w:szCs w:val="26"/>
          <w:u w:val="single"/>
        </w:rPr>
        <w:t xml:space="preserve">Приемка </w:t>
      </w:r>
      <w:proofErr w:type="gramStart"/>
      <w:r w:rsidRPr="00831FAD">
        <w:rPr>
          <w:rFonts w:ascii="Times New Roman" w:hAnsi="Times New Roman" w:cs="Times New Roman"/>
          <w:sz w:val="26"/>
          <w:szCs w:val="26"/>
          <w:u w:val="single"/>
        </w:rPr>
        <w:t>ТРУ</w:t>
      </w:r>
      <w:proofErr w:type="gramEnd"/>
      <w:r w:rsidR="00521940" w:rsidRPr="00831FAD">
        <w:rPr>
          <w:rFonts w:ascii="Times New Roman" w:hAnsi="Times New Roman" w:cs="Times New Roman"/>
          <w:sz w:val="26"/>
          <w:szCs w:val="26"/>
        </w:rPr>
        <w:t xml:space="preserve"> осуществляется в форме электронного актирования. </w:t>
      </w:r>
      <w:r w:rsidR="00521940" w:rsidRPr="00831FAD">
        <w:rPr>
          <w:rFonts w:ascii="Times New Roman" w:eastAsia="Calibri" w:hAnsi="Times New Roman" w:cs="Times New Roman"/>
          <w:b/>
          <w:sz w:val="26"/>
          <w:szCs w:val="26"/>
        </w:rPr>
        <w:t>Электронное актирование</w:t>
      </w:r>
      <w:r w:rsidR="00521940" w:rsidRPr="00831FAD">
        <w:rPr>
          <w:rFonts w:ascii="Times New Roman" w:eastAsia="Calibri" w:hAnsi="Times New Roman" w:cs="Times New Roman"/>
          <w:sz w:val="26"/>
          <w:szCs w:val="26"/>
        </w:rPr>
        <w:t xml:space="preserve"> — это обмен документами о приемке </w:t>
      </w:r>
      <w:r w:rsidR="006B546E">
        <w:rPr>
          <w:rFonts w:ascii="Times New Roman" w:eastAsia="Calibri" w:hAnsi="Times New Roman" w:cs="Times New Roman"/>
          <w:sz w:val="26"/>
          <w:szCs w:val="26"/>
        </w:rPr>
        <w:t>ТРУ</w:t>
      </w:r>
      <w:r w:rsidR="00521940" w:rsidRPr="00831FAD">
        <w:rPr>
          <w:rFonts w:ascii="Times New Roman" w:eastAsia="Calibri" w:hAnsi="Times New Roman" w:cs="Times New Roman"/>
          <w:sz w:val="26"/>
          <w:szCs w:val="26"/>
        </w:rPr>
        <w:t xml:space="preserve"> при исполнении государственных и муниципальных контрактов в электронном формате посредством функционала личного кабинета заказчика и поставщика в ЕИС.</w:t>
      </w:r>
    </w:p>
    <w:p w:rsidR="00521940" w:rsidRPr="00831FAD" w:rsidRDefault="00521940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</w:rPr>
        <w:t xml:space="preserve">С 01.01.2022 </w:t>
      </w:r>
      <w:proofErr w:type="spellStart"/>
      <w:r w:rsidRPr="00831FAD">
        <w:rPr>
          <w:rFonts w:ascii="Times New Roman" w:eastAsia="Calibri" w:hAnsi="Times New Roman" w:cs="Times New Roman"/>
          <w:sz w:val="26"/>
          <w:szCs w:val="26"/>
        </w:rPr>
        <w:t>электроприемка</w:t>
      </w:r>
      <w:proofErr w:type="spellEnd"/>
      <w:r w:rsidRPr="00831FAD">
        <w:rPr>
          <w:rFonts w:ascii="Times New Roman" w:eastAsia="Calibri" w:hAnsi="Times New Roman" w:cs="Times New Roman"/>
          <w:sz w:val="26"/>
          <w:szCs w:val="26"/>
        </w:rPr>
        <w:t xml:space="preserve"> стала обязательной для всех заказчиков и поставщиков. Но при условии, что торги провели онлайн.</w:t>
      </w:r>
    </w:p>
    <w:p w:rsidR="00521940" w:rsidRPr="00831FAD" w:rsidRDefault="00521940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</w:rPr>
        <w:t>Первичное формирование документов о пр</w:t>
      </w:r>
      <w:r w:rsidR="001F712F">
        <w:rPr>
          <w:rFonts w:ascii="Times New Roman" w:eastAsia="Calibri" w:hAnsi="Times New Roman" w:cs="Times New Roman"/>
          <w:sz w:val="26"/>
          <w:szCs w:val="26"/>
        </w:rPr>
        <w:t>иемке — обязанность поставщика.</w:t>
      </w:r>
    </w:p>
    <w:p w:rsidR="00521940" w:rsidRPr="00831FAD" w:rsidRDefault="00521940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  <w:u w:val="single"/>
        </w:rPr>
        <w:t>Пошаговая инструкция</w:t>
      </w:r>
      <w:r w:rsidRPr="00831FAD">
        <w:rPr>
          <w:rFonts w:ascii="Times New Roman" w:eastAsia="Calibri" w:hAnsi="Times New Roman" w:cs="Times New Roman"/>
          <w:sz w:val="26"/>
          <w:szCs w:val="26"/>
        </w:rPr>
        <w:t xml:space="preserve"> по электронному актированию в ЕИС для поставщика:</w:t>
      </w:r>
    </w:p>
    <w:p w:rsidR="00521940" w:rsidRPr="00831FAD" w:rsidRDefault="00521940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</w:rPr>
        <w:t>Шаг 1. Войти в личный кабинет ЕИС.</w:t>
      </w:r>
    </w:p>
    <w:p w:rsidR="00521940" w:rsidRPr="00831FAD" w:rsidRDefault="00521940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</w:rPr>
        <w:t>Шаг 2. Настроить права доступа: просмотр договоров и создание документов о приемке; наличие доверенности на подписание закрывающих документов.</w:t>
      </w:r>
    </w:p>
    <w:p w:rsidR="00521940" w:rsidRPr="00831FAD" w:rsidRDefault="00521940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</w:rPr>
        <w:t>Шаг 3. Перейти на вкладку «Исполнение» и выбрать нужный договор. Нажать на кнопку «Создать документ о приемке». В электронной карточке контракта будут доступны для формирования три типа документов: документ о приемке (электронный акт); счет-фактура и до</w:t>
      </w:r>
      <w:r w:rsidR="00E020FE" w:rsidRPr="00831FAD">
        <w:rPr>
          <w:rFonts w:ascii="Times New Roman" w:eastAsia="Calibri" w:hAnsi="Times New Roman" w:cs="Times New Roman"/>
          <w:sz w:val="26"/>
          <w:szCs w:val="26"/>
        </w:rPr>
        <w:t xml:space="preserve">кумент о приемке; счет-фактура. </w:t>
      </w:r>
      <w:r w:rsidRPr="00831FAD">
        <w:rPr>
          <w:rFonts w:ascii="Times New Roman" w:eastAsia="Calibri" w:hAnsi="Times New Roman" w:cs="Times New Roman"/>
          <w:sz w:val="26"/>
          <w:szCs w:val="26"/>
        </w:rPr>
        <w:t>Заполнить форму в разделах, которые не сформированы в автоматическом режиме.</w:t>
      </w:r>
    </w:p>
    <w:p w:rsidR="00521940" w:rsidRPr="00831FAD" w:rsidRDefault="00521940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</w:rPr>
        <w:t>Еще один способ, как поставщику заполнить электронный документ о приемке в ЕИС, — загрузить документы из внешних систем.</w:t>
      </w:r>
    </w:p>
    <w:p w:rsidR="00521940" w:rsidRPr="00831FAD" w:rsidRDefault="00521940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</w:rPr>
        <w:t>Шаг 4. Подписать электронный документ с помощью цифровой подписи. Для этого надо перейти в раздел «Исполнение контрактов» и выбрать пункт «Подписание документов» или подписать сформированный документ напрямую. Направить подписанный файл заказчику.</w:t>
      </w:r>
    </w:p>
    <w:p w:rsidR="00521940" w:rsidRPr="00831FAD" w:rsidRDefault="00521940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</w:rPr>
        <w:t>Шаг 5. Реализовать поставку.</w:t>
      </w:r>
    </w:p>
    <w:p w:rsidR="00521940" w:rsidRPr="00831FAD" w:rsidRDefault="00521940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</w:rPr>
        <w:t>Срок подписания акта в ЕИС со стороны заказчика, согласно положениям ст. 94 ФЗ 4</w:t>
      </w:r>
      <w:r w:rsidR="00E020FE" w:rsidRPr="00831FAD">
        <w:rPr>
          <w:rFonts w:ascii="Times New Roman" w:eastAsia="Calibri" w:hAnsi="Times New Roman" w:cs="Times New Roman"/>
          <w:sz w:val="26"/>
          <w:szCs w:val="26"/>
        </w:rPr>
        <w:t xml:space="preserve">4, — </w:t>
      </w:r>
      <w:r w:rsidR="00831FAD" w:rsidRPr="00831FA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условиями контракта, но </w:t>
      </w:r>
      <w:r w:rsidR="00E020FE" w:rsidRPr="00831FAD">
        <w:rPr>
          <w:rFonts w:ascii="Times New Roman" w:eastAsia="Calibri" w:hAnsi="Times New Roman" w:cs="Times New Roman"/>
          <w:sz w:val="26"/>
          <w:szCs w:val="26"/>
        </w:rPr>
        <w:t>не позднее 20 рабочих дней со дня поступления документа о приемке</w:t>
      </w:r>
      <w:r w:rsidR="00831FAD" w:rsidRPr="00831FA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1940" w:rsidRPr="00831FAD" w:rsidRDefault="00521940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</w:rPr>
        <w:t>При отказе заказчика в приемке товара у поставщика есть два пути решения вопроса:</w:t>
      </w:r>
    </w:p>
    <w:p w:rsidR="00521940" w:rsidRPr="00831FAD" w:rsidRDefault="000414E6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1) и</w:t>
      </w:r>
      <w:r w:rsidR="00521940" w:rsidRPr="00831FAD">
        <w:rPr>
          <w:rFonts w:ascii="Times New Roman" w:eastAsia="Calibri" w:hAnsi="Times New Roman" w:cs="Times New Roman"/>
          <w:sz w:val="26"/>
          <w:szCs w:val="26"/>
        </w:rPr>
        <w:t>справить замечания — осуществить поставку в соответствии с условиями договора и заново направить заказчику акт посредством ЕИС.</w:t>
      </w:r>
    </w:p>
    <w:p w:rsidR="00831FAD" w:rsidRPr="00831FAD" w:rsidRDefault="000414E6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2) о</w:t>
      </w:r>
      <w:r w:rsidR="00521940" w:rsidRPr="00831FAD">
        <w:rPr>
          <w:rFonts w:ascii="Times New Roman" w:eastAsia="Calibri" w:hAnsi="Times New Roman" w:cs="Times New Roman"/>
          <w:sz w:val="26"/>
          <w:szCs w:val="26"/>
        </w:rPr>
        <w:t>бжаловать действия заказчика.</w:t>
      </w:r>
    </w:p>
    <w:p w:rsidR="00831FAD" w:rsidRPr="00831FAD" w:rsidRDefault="00831FAD" w:rsidP="000E26FD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FAD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r w:rsidRPr="000414E6">
        <w:rPr>
          <w:rFonts w:ascii="Times New Roman" w:eastAsia="Calibri" w:hAnsi="Times New Roman" w:cs="Times New Roman"/>
          <w:sz w:val="26"/>
          <w:szCs w:val="26"/>
          <w:u w:val="single"/>
        </w:rPr>
        <w:t>Оплата</w:t>
      </w:r>
      <w:r w:rsidRPr="00831FAD">
        <w:rPr>
          <w:rFonts w:ascii="Times New Roman" w:eastAsia="Calibri" w:hAnsi="Times New Roman" w:cs="Times New Roman"/>
          <w:sz w:val="26"/>
          <w:szCs w:val="26"/>
        </w:rPr>
        <w:t>.</w:t>
      </w:r>
      <w:r w:rsidRPr="00831FAD">
        <w:rPr>
          <w:rFonts w:ascii="Times New Roman" w:hAnsi="Times New Roman" w:cs="Times New Roman"/>
          <w:sz w:val="26"/>
          <w:szCs w:val="26"/>
        </w:rPr>
        <w:t xml:space="preserve"> Заказчик о</w:t>
      </w:r>
      <w:r w:rsidRPr="00831FAD">
        <w:rPr>
          <w:rFonts w:ascii="Times New Roman" w:eastAsia="Calibri" w:hAnsi="Times New Roman" w:cs="Times New Roman"/>
          <w:sz w:val="26"/>
          <w:szCs w:val="26"/>
        </w:rPr>
        <w:t xml:space="preserve">плачивает </w:t>
      </w:r>
      <w:r>
        <w:rPr>
          <w:rFonts w:ascii="Times New Roman" w:eastAsia="Calibri" w:hAnsi="Times New Roman" w:cs="Times New Roman"/>
          <w:sz w:val="26"/>
          <w:szCs w:val="26"/>
        </w:rPr>
        <w:t>товар</w:t>
      </w:r>
      <w:r w:rsidRPr="00831FAD">
        <w:rPr>
          <w:rFonts w:ascii="Times New Roman" w:eastAsia="Calibri" w:hAnsi="Times New Roman" w:cs="Times New Roman"/>
          <w:sz w:val="26"/>
          <w:szCs w:val="26"/>
        </w:rPr>
        <w:t xml:space="preserve"> не более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чем в течение</w:t>
      </w:r>
      <w:r w:rsidRPr="00831FAD">
        <w:rPr>
          <w:rFonts w:ascii="Times New Roman" w:eastAsia="Calibri" w:hAnsi="Times New Roman" w:cs="Times New Roman"/>
          <w:sz w:val="26"/>
          <w:szCs w:val="26"/>
        </w:rPr>
        <w:t xml:space="preserve"> 7 рабочих дней с даты подписания заказчиком документа о приемке.</w:t>
      </w:r>
    </w:p>
    <w:p w:rsidR="00831FAD" w:rsidRPr="00E46BAA" w:rsidRDefault="00FD7758" w:rsidP="000E26FD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</w:rPr>
        <w:t>Особенности и п</w:t>
      </w:r>
      <w:r w:rsidR="00E46BAA" w:rsidRPr="00E46BAA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реимущества для СМСП И СОНКО</w:t>
      </w:r>
    </w:p>
    <w:p w:rsidR="00FD3DE9" w:rsidRDefault="000E26FD" w:rsidP="00FD3DE9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26FD">
        <w:rPr>
          <w:rFonts w:ascii="Times New Roman" w:eastAsia="Calibri" w:hAnsi="Times New Roman" w:cs="Times New Roman"/>
          <w:sz w:val="26"/>
          <w:szCs w:val="26"/>
        </w:rPr>
        <w:t>Участие СМП и СОНКО регламентируе</w:t>
      </w:r>
      <w:r>
        <w:rPr>
          <w:rFonts w:ascii="Times New Roman" w:eastAsia="Calibri" w:hAnsi="Times New Roman" w:cs="Times New Roman"/>
          <w:sz w:val="26"/>
          <w:szCs w:val="26"/>
        </w:rPr>
        <w:t>тся одними и теми же правилами.</w:t>
      </w:r>
    </w:p>
    <w:p w:rsidR="007C0BD5" w:rsidRPr="000E26FD" w:rsidRDefault="007C0BD5" w:rsidP="007C0BD5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26FD">
        <w:rPr>
          <w:rFonts w:ascii="Times New Roman" w:eastAsia="Calibri" w:hAnsi="Times New Roman" w:cs="Times New Roman"/>
          <w:sz w:val="26"/>
          <w:szCs w:val="26"/>
        </w:rPr>
        <w:t xml:space="preserve">Согласно ст. 30 44-ФЗ </w:t>
      </w:r>
      <w:r w:rsidRPr="000E26FD">
        <w:rPr>
          <w:rFonts w:ascii="Times New Roman" w:eastAsia="Calibri" w:hAnsi="Times New Roman" w:cs="Times New Roman"/>
          <w:b/>
          <w:sz w:val="26"/>
          <w:szCs w:val="26"/>
        </w:rPr>
        <w:t>заказчики должны в обязательном порядке заключать контракты с СМП и СОНКО не менее 25 % СГОС</w:t>
      </w:r>
      <w:r w:rsidRPr="000E26FD">
        <w:rPr>
          <w:rFonts w:ascii="Times New Roman" w:eastAsia="Calibri" w:hAnsi="Times New Roman" w:cs="Times New Roman"/>
          <w:sz w:val="26"/>
          <w:szCs w:val="26"/>
        </w:rPr>
        <w:t>. Максимальный объём не установлен. Какое-либо обязательное соотношение закупок у СМП и СОНКО в общем объёме законом не установлено, поэтому закупаться можно и только у малого бизнеса, либо только у СОНКО.</w:t>
      </w:r>
    </w:p>
    <w:p w:rsidR="007C0BD5" w:rsidRPr="000E26FD" w:rsidRDefault="007C0BD5" w:rsidP="007C0BD5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26FD">
        <w:rPr>
          <w:rFonts w:ascii="Times New Roman" w:eastAsia="Calibri" w:hAnsi="Times New Roman" w:cs="Times New Roman"/>
          <w:sz w:val="26"/>
          <w:szCs w:val="26"/>
        </w:rPr>
        <w:t>Заключить контракт</w:t>
      </w:r>
      <w:r>
        <w:rPr>
          <w:rFonts w:ascii="Times New Roman" w:eastAsia="Calibri" w:hAnsi="Times New Roman" w:cs="Times New Roman"/>
          <w:sz w:val="26"/>
          <w:szCs w:val="26"/>
        </w:rPr>
        <w:t>, чтобы он пошел в счет СГОЗ</w:t>
      </w:r>
      <w:r w:rsidRPr="000E26FD">
        <w:rPr>
          <w:rFonts w:ascii="Times New Roman" w:eastAsia="Calibri" w:hAnsi="Times New Roman" w:cs="Times New Roman"/>
          <w:sz w:val="26"/>
          <w:szCs w:val="26"/>
        </w:rPr>
        <w:t xml:space="preserve"> можно следующими способами:</w:t>
      </w:r>
    </w:p>
    <w:p w:rsidR="007C0BD5" w:rsidRPr="000E26FD" w:rsidRDefault="007C0BD5" w:rsidP="00134A50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1) ч</w:t>
      </w:r>
      <w:r w:rsidRPr="000E26FD">
        <w:rPr>
          <w:rFonts w:ascii="Times New Roman" w:eastAsia="Calibri" w:hAnsi="Times New Roman" w:cs="Times New Roman"/>
          <w:sz w:val="26"/>
          <w:szCs w:val="26"/>
        </w:rPr>
        <w:t xml:space="preserve">ерез проведение торгов, участниками которых </w:t>
      </w:r>
      <w:r>
        <w:rPr>
          <w:rFonts w:ascii="Times New Roman" w:eastAsia="Calibri" w:hAnsi="Times New Roman" w:cs="Times New Roman"/>
          <w:sz w:val="26"/>
          <w:szCs w:val="26"/>
        </w:rPr>
        <w:t>могут быть только СМП или СОНКО. При этом НМЦК не должна превышать 20 000 000 руб.</w:t>
      </w:r>
      <w:r w:rsidR="00134A50" w:rsidRPr="00134A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4A50">
        <w:rPr>
          <w:rFonts w:ascii="Times New Roman" w:eastAsia="Calibri" w:hAnsi="Times New Roman" w:cs="Times New Roman"/>
          <w:sz w:val="26"/>
          <w:szCs w:val="26"/>
        </w:rPr>
        <w:t xml:space="preserve">Но СМП И СОНКО не ограничены участием только в таких закупках, они могут принимать участие в любых тендерах, по которым отвечают требованиям. </w:t>
      </w:r>
      <w:r w:rsidR="00134A50" w:rsidRPr="000E26FD">
        <w:rPr>
          <w:rFonts w:ascii="Times New Roman" w:eastAsia="Calibri" w:hAnsi="Times New Roman" w:cs="Times New Roman"/>
          <w:sz w:val="26"/>
          <w:szCs w:val="26"/>
        </w:rPr>
        <w:t xml:space="preserve">Для участия </w:t>
      </w:r>
      <w:r w:rsidR="00134A50">
        <w:rPr>
          <w:rFonts w:ascii="Times New Roman" w:eastAsia="Calibri" w:hAnsi="Times New Roman" w:cs="Times New Roman"/>
          <w:sz w:val="26"/>
          <w:szCs w:val="26"/>
        </w:rPr>
        <w:t xml:space="preserve">в закупках только для СМП и СОНКО </w:t>
      </w:r>
      <w:r w:rsidR="00134A50" w:rsidRPr="000E26FD">
        <w:rPr>
          <w:rFonts w:ascii="Times New Roman" w:eastAsia="Calibri" w:hAnsi="Times New Roman" w:cs="Times New Roman"/>
          <w:sz w:val="26"/>
          <w:szCs w:val="26"/>
        </w:rPr>
        <w:t xml:space="preserve">потребуется </w:t>
      </w:r>
      <w:r w:rsidR="00134A50">
        <w:rPr>
          <w:rFonts w:ascii="Times New Roman" w:eastAsia="Calibri" w:hAnsi="Times New Roman" w:cs="Times New Roman"/>
          <w:sz w:val="26"/>
          <w:szCs w:val="26"/>
        </w:rPr>
        <w:t>предоставить декларацию принадлежности</w:t>
      </w:r>
      <w:r w:rsidR="00134A50" w:rsidRPr="000E26FD">
        <w:rPr>
          <w:rFonts w:ascii="Times New Roman" w:eastAsia="Calibri" w:hAnsi="Times New Roman" w:cs="Times New Roman"/>
          <w:sz w:val="26"/>
          <w:szCs w:val="26"/>
        </w:rPr>
        <w:t xml:space="preserve"> к СОНКО</w:t>
      </w:r>
      <w:r w:rsidR="00134A50">
        <w:rPr>
          <w:rFonts w:ascii="Times New Roman" w:eastAsia="Calibri" w:hAnsi="Times New Roman" w:cs="Times New Roman"/>
          <w:sz w:val="26"/>
          <w:szCs w:val="26"/>
        </w:rPr>
        <w:t xml:space="preserve"> (при наличии)</w:t>
      </w:r>
      <w:r w:rsidR="00134A50" w:rsidRPr="000E26FD">
        <w:rPr>
          <w:rFonts w:ascii="Times New Roman" w:eastAsia="Calibri" w:hAnsi="Times New Roman" w:cs="Times New Roman"/>
          <w:sz w:val="26"/>
          <w:szCs w:val="26"/>
        </w:rPr>
        <w:t xml:space="preserve">. При этом </w:t>
      </w:r>
      <w:r w:rsidR="00134A50" w:rsidRPr="000E26FD">
        <w:rPr>
          <w:rFonts w:ascii="Times New Roman" w:eastAsia="Calibri" w:hAnsi="Times New Roman" w:cs="Times New Roman"/>
          <w:sz w:val="26"/>
          <w:szCs w:val="26"/>
        </w:rPr>
        <w:lastRenderedPageBreak/>
        <w:t>ответственность за достоверность информации несёт поставщик. Декларация о принадлежности к СМСП с 2020 года не предоставляется. Теперь данные с</w:t>
      </w:r>
      <w:r w:rsidR="00134A50">
        <w:rPr>
          <w:rFonts w:ascii="Times New Roman" w:eastAsia="Calibri" w:hAnsi="Times New Roman" w:cs="Times New Roman"/>
          <w:sz w:val="26"/>
          <w:szCs w:val="26"/>
        </w:rPr>
        <w:t>ведения берутся из Реестра СМСП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7C0BD5" w:rsidRDefault="007C0BD5" w:rsidP="007C0BD5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2) у</w:t>
      </w:r>
      <w:r w:rsidRPr="000E26FD">
        <w:rPr>
          <w:rFonts w:ascii="Times New Roman" w:eastAsia="Calibri" w:hAnsi="Times New Roman" w:cs="Times New Roman"/>
          <w:sz w:val="26"/>
          <w:szCs w:val="26"/>
        </w:rPr>
        <w:t>становить привлечение СМП (СОНКО) в качестве субподрядчика как одно из требований к победителю тендера.</w:t>
      </w:r>
    </w:p>
    <w:p w:rsidR="007C0BD5" w:rsidRDefault="007C0BD5" w:rsidP="007C0BD5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Закупки у единственного поставщика с СМП и СОНКО не идут в счет закупок у СМП.</w:t>
      </w:r>
    </w:p>
    <w:p w:rsidR="00FD3DE9" w:rsidRPr="007C0BD5" w:rsidRDefault="00FD7758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C0BD5">
        <w:rPr>
          <w:rFonts w:ascii="Times New Roman" w:eastAsia="Calibri" w:hAnsi="Times New Roman" w:cs="Times New Roman"/>
          <w:sz w:val="26"/>
          <w:szCs w:val="26"/>
          <w:u w:val="single"/>
        </w:rPr>
        <w:t>Преим</w:t>
      </w:r>
      <w:r w:rsidR="007C0BD5" w:rsidRPr="007C0BD5">
        <w:rPr>
          <w:rFonts w:ascii="Times New Roman" w:eastAsia="Calibri" w:hAnsi="Times New Roman" w:cs="Times New Roman"/>
          <w:sz w:val="26"/>
          <w:szCs w:val="26"/>
          <w:u w:val="single"/>
        </w:rPr>
        <w:t>ущества для</w:t>
      </w:r>
      <w:r w:rsidRPr="007C0BD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СМП</w:t>
      </w:r>
      <w:r w:rsidR="007C0BD5" w:rsidRPr="007C0BD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на разных этапах закупки</w:t>
      </w:r>
      <w:r w:rsidRPr="007C0BD5">
        <w:rPr>
          <w:rFonts w:ascii="Times New Roman" w:eastAsia="Calibri" w:hAnsi="Times New Roman" w:cs="Times New Roman"/>
          <w:sz w:val="26"/>
          <w:szCs w:val="26"/>
          <w:u w:val="single"/>
        </w:rPr>
        <w:t>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2"/>
        <w:gridCol w:w="4231"/>
        <w:gridCol w:w="3847"/>
      </w:tblGrid>
      <w:tr w:rsidR="007C0BD5" w:rsidTr="009260C0">
        <w:tc>
          <w:tcPr>
            <w:tcW w:w="2412" w:type="dxa"/>
          </w:tcPr>
          <w:p w:rsidR="007C0BD5" w:rsidRDefault="007C0BD5" w:rsidP="000E26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31" w:type="dxa"/>
          </w:tcPr>
          <w:p w:rsidR="007C0BD5" w:rsidRPr="00072693" w:rsidRDefault="007C0BD5" w:rsidP="0007269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726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44 ФЗ</w:t>
            </w:r>
          </w:p>
        </w:tc>
        <w:tc>
          <w:tcPr>
            <w:tcW w:w="3847" w:type="dxa"/>
          </w:tcPr>
          <w:p w:rsidR="007C0BD5" w:rsidRPr="00072693" w:rsidRDefault="007C0BD5" w:rsidP="0007269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726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223 ФЗ</w:t>
            </w:r>
          </w:p>
        </w:tc>
      </w:tr>
      <w:tr w:rsidR="007C0BD5" w:rsidTr="009260C0">
        <w:tc>
          <w:tcPr>
            <w:tcW w:w="2412" w:type="dxa"/>
            <w:vAlign w:val="center"/>
          </w:tcPr>
          <w:p w:rsidR="007C0BD5" w:rsidRPr="00072693" w:rsidRDefault="007C0BD5" w:rsidP="0007269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726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заявки</w:t>
            </w:r>
          </w:p>
        </w:tc>
        <w:tc>
          <w:tcPr>
            <w:tcW w:w="4231" w:type="dxa"/>
          </w:tcPr>
          <w:p w:rsidR="007C0BD5" w:rsidRDefault="007C0BD5" w:rsidP="000E26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BD5">
              <w:rPr>
                <w:rFonts w:ascii="Times New Roman" w:eastAsia="Calibri" w:hAnsi="Times New Roman" w:cs="Times New Roman"/>
                <w:sz w:val="26"/>
                <w:szCs w:val="26"/>
              </w:rPr>
              <w:t>Для СМП отличий и преимуществ не установлено.</w:t>
            </w:r>
          </w:p>
        </w:tc>
        <w:tc>
          <w:tcPr>
            <w:tcW w:w="3847" w:type="dxa"/>
          </w:tcPr>
          <w:p w:rsidR="007C0BD5" w:rsidRDefault="00072693" w:rsidP="000E26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7C0BD5" w:rsidRPr="007C0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азмер обеспечения заявки </w:t>
            </w:r>
            <w:r w:rsidR="007C0BD5" w:rsidRPr="007C0BD5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не может превышать 2 % НМЦК</w:t>
            </w:r>
            <w:r w:rsidR="007C0BD5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7C0BD5" w:rsidRDefault="007C0BD5" w:rsidP="000E26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C0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заявки вносят через </w:t>
            </w:r>
            <w:proofErr w:type="spellStart"/>
            <w:r w:rsidRPr="007C0BD5">
              <w:rPr>
                <w:rFonts w:ascii="Times New Roman" w:eastAsia="Calibri" w:hAnsi="Times New Roman" w:cs="Times New Roman"/>
                <w:sz w:val="26"/>
                <w:szCs w:val="26"/>
              </w:rPr>
              <w:t>сп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ецсчет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независимую гарантию (а не банковскую).</w:t>
            </w:r>
          </w:p>
        </w:tc>
      </w:tr>
      <w:tr w:rsidR="007C0BD5" w:rsidTr="009260C0">
        <w:tc>
          <w:tcPr>
            <w:tcW w:w="2412" w:type="dxa"/>
            <w:vAlign w:val="center"/>
          </w:tcPr>
          <w:p w:rsidR="007C0BD5" w:rsidRPr="00072693" w:rsidRDefault="007C0BD5" w:rsidP="0007269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726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Обеспечение контракта</w:t>
            </w:r>
          </w:p>
        </w:tc>
        <w:tc>
          <w:tcPr>
            <w:tcW w:w="4231" w:type="dxa"/>
          </w:tcPr>
          <w:p w:rsidR="007C0BD5" w:rsidRDefault="00072693" w:rsidP="000E26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7C0BD5" w:rsidRPr="007C0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азмер обеспечения рассчитывается </w:t>
            </w:r>
            <w:r w:rsidR="007C0BD5" w:rsidRPr="0007269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от итоговой цены контракта</w:t>
            </w:r>
            <w:r w:rsidR="007C0BD5" w:rsidRPr="007C0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а не от НМЦК. СМП </w:t>
            </w:r>
            <w:r w:rsidR="007C0BD5" w:rsidRPr="0007269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могут</w:t>
            </w:r>
            <w:r w:rsidR="007C0BD5" w:rsidRPr="007C0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обеспечения исполнения контракта </w:t>
            </w:r>
            <w:r w:rsidR="007C0BD5" w:rsidRPr="0007269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подтвердить опытом исполнения контрактов</w:t>
            </w:r>
            <w:r w:rsidR="007C0BD5" w:rsidRPr="007C0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(п. 8.1 ст. 96 44-ФЗ).</w:t>
            </w:r>
          </w:p>
        </w:tc>
        <w:tc>
          <w:tcPr>
            <w:tcW w:w="3847" w:type="dxa"/>
          </w:tcPr>
          <w:p w:rsidR="007C0BD5" w:rsidRDefault="00072693" w:rsidP="000E26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азмер обеспечения исполнения договора </w:t>
            </w:r>
            <w:r w:rsidRPr="0007269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не может превышать 5 %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НМЦК 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или устанавливается </w:t>
            </w:r>
            <w:r w:rsidRPr="0007269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в размере аванса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072693" w:rsidTr="009260C0">
        <w:tc>
          <w:tcPr>
            <w:tcW w:w="2412" w:type="dxa"/>
            <w:vAlign w:val="center"/>
          </w:tcPr>
          <w:p w:rsidR="00072693" w:rsidRPr="00072693" w:rsidRDefault="00072693" w:rsidP="00072693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7269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Антидемпинговые меры</w:t>
            </w:r>
          </w:p>
        </w:tc>
        <w:tc>
          <w:tcPr>
            <w:tcW w:w="4231" w:type="dxa"/>
          </w:tcPr>
          <w:p w:rsidR="00072693" w:rsidRPr="007C0BD5" w:rsidRDefault="008C71B1" w:rsidP="000E26FD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величение обеспечения зависит от цены контракта, а не от НМЦК. </w:t>
            </w:r>
            <w:proofErr w:type="gramStart"/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Если СМП приложит исполненные без штрафов </w:t>
            </w:r>
            <w:proofErr w:type="spellStart"/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госконтракты</w:t>
            </w:r>
            <w:proofErr w:type="spellEnd"/>
            <w:r w:rsidRPr="00831FAD">
              <w:rPr>
                <w:rFonts w:ascii="Times New Roman" w:eastAsia="Calibri" w:hAnsi="Times New Roman" w:cs="Times New Roman"/>
                <w:sz w:val="26"/>
                <w:szCs w:val="26"/>
              </w:rPr>
              <w:t>, то он освобождается от обеспечения, в том числе повышенного.</w:t>
            </w:r>
            <w:proofErr w:type="gramEnd"/>
          </w:p>
        </w:tc>
        <w:tc>
          <w:tcPr>
            <w:tcW w:w="3847" w:type="dxa"/>
          </w:tcPr>
          <w:p w:rsidR="00072693" w:rsidRDefault="00262AB7" w:rsidP="00262AB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Заказчик может установить особенности антидемпинговых мер для СМСП самостоятельно.</w:t>
            </w:r>
          </w:p>
        </w:tc>
      </w:tr>
    </w:tbl>
    <w:p w:rsidR="00DF2BB4" w:rsidRDefault="00DF2BB4" w:rsidP="00AC29C7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2BB4">
        <w:rPr>
          <w:rFonts w:ascii="Times New Roman" w:eastAsia="Calibri" w:hAnsi="Times New Roman" w:cs="Times New Roman"/>
          <w:b/>
          <w:sz w:val="26"/>
          <w:szCs w:val="26"/>
        </w:rPr>
        <w:t>Электронный магазин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2BB4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4B556B">
        <w:rPr>
          <w:rFonts w:ascii="Times New Roman" w:eastAsia="Calibri" w:hAnsi="Times New Roman" w:cs="Times New Roman"/>
          <w:sz w:val="26"/>
          <w:szCs w:val="26"/>
        </w:rPr>
        <w:t>это неконкурентный способ определения поставщика</w:t>
      </w:r>
      <w:r w:rsidRPr="00DF2BB4">
        <w:rPr>
          <w:rFonts w:ascii="Times New Roman" w:eastAsia="Calibri" w:hAnsi="Times New Roman" w:cs="Times New Roman"/>
          <w:sz w:val="26"/>
          <w:szCs w:val="26"/>
        </w:rPr>
        <w:t>, с помо</w:t>
      </w:r>
      <w:r w:rsidR="00C025E6">
        <w:rPr>
          <w:rFonts w:ascii="Times New Roman" w:eastAsia="Calibri" w:hAnsi="Times New Roman" w:cs="Times New Roman"/>
          <w:sz w:val="26"/>
          <w:szCs w:val="26"/>
        </w:rPr>
        <w:t>щью которого проводятся закупки. Используется соответствующий интерфейс ЭТП.</w:t>
      </w:r>
    </w:p>
    <w:p w:rsidR="00DF2BB4" w:rsidRDefault="00EB60D2" w:rsidP="00AC29C7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Курске </w:t>
      </w:r>
      <w:r w:rsidR="008036A9">
        <w:rPr>
          <w:rFonts w:ascii="Times New Roman" w:eastAsia="Calibri" w:hAnsi="Times New Roman" w:cs="Times New Roman"/>
          <w:sz w:val="26"/>
          <w:szCs w:val="26"/>
        </w:rPr>
        <w:t xml:space="preserve">также,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8036A9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 г. Курска № 3302</w:t>
      </w:r>
      <w:r w:rsidRPr="008036A9">
        <w:t xml:space="preserve"> </w:t>
      </w:r>
      <w:r w:rsidRPr="008036A9">
        <w:rPr>
          <w:rFonts w:ascii="Times New Roman" w:eastAsia="Calibri" w:hAnsi="Times New Roman" w:cs="Times New Roman"/>
          <w:sz w:val="26"/>
          <w:szCs w:val="26"/>
        </w:rPr>
        <w:t>от 21.12.2017</w:t>
      </w:r>
      <w:r w:rsidRPr="00EB60D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036A9">
        <w:rPr>
          <w:rFonts w:ascii="Times New Roman" w:eastAsia="Calibri" w:hAnsi="Times New Roman" w:cs="Times New Roman"/>
          <w:sz w:val="26"/>
          <w:szCs w:val="26"/>
        </w:rPr>
        <w:t>«</w:t>
      </w:r>
      <w:r w:rsidRPr="00EB60D2">
        <w:rPr>
          <w:rFonts w:ascii="Times New Roman" w:eastAsia="Calibri" w:hAnsi="Times New Roman" w:cs="Times New Roman"/>
          <w:sz w:val="26"/>
          <w:szCs w:val="26"/>
        </w:rPr>
        <w:t>Об осуществлении закупок малого объема с использ</w:t>
      </w:r>
      <w:r w:rsidR="008036A9">
        <w:rPr>
          <w:rFonts w:ascii="Times New Roman" w:eastAsia="Calibri" w:hAnsi="Times New Roman" w:cs="Times New Roman"/>
          <w:sz w:val="26"/>
          <w:szCs w:val="26"/>
        </w:rPr>
        <w:t>ованием электронного ресурса «Электронный магазин», действует электронный магазин.</w:t>
      </w:r>
    </w:p>
    <w:p w:rsidR="00AC29C7" w:rsidRPr="00AC29C7" w:rsidRDefault="00AC29C7" w:rsidP="00AC29C7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29C7">
        <w:rPr>
          <w:rFonts w:ascii="Times New Roman" w:eastAsia="Calibri" w:hAnsi="Times New Roman" w:cs="Times New Roman"/>
          <w:b/>
          <w:sz w:val="26"/>
          <w:szCs w:val="26"/>
        </w:rPr>
        <w:t>Поставщик</w:t>
      </w:r>
      <w:r w:rsidRPr="00AC29C7">
        <w:rPr>
          <w:rFonts w:ascii="Times New Roman" w:eastAsia="Calibri" w:hAnsi="Times New Roman" w:cs="Times New Roman"/>
          <w:sz w:val="26"/>
          <w:szCs w:val="26"/>
        </w:rPr>
        <w:t xml:space="preserve"> размещает на ЭТП прайс-лист с описанием товара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условий, стоимости </w:t>
      </w:r>
      <w:r w:rsidRPr="00AC29C7">
        <w:rPr>
          <w:rFonts w:ascii="Times New Roman" w:eastAsia="Calibri" w:hAnsi="Times New Roman" w:cs="Times New Roman"/>
          <w:sz w:val="26"/>
          <w:szCs w:val="26"/>
        </w:rPr>
        <w:t>поставки, доступного количества, прикладывает фото. Заказчик выбирает товар, который ему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29C7">
        <w:rPr>
          <w:rFonts w:ascii="Times New Roman" w:eastAsia="Calibri" w:hAnsi="Times New Roman" w:cs="Times New Roman"/>
          <w:sz w:val="26"/>
          <w:szCs w:val="26"/>
        </w:rPr>
        <w:t>подходит с наиболее привлекательной ценой.</w:t>
      </w:r>
    </w:p>
    <w:p w:rsidR="00AC29C7" w:rsidRDefault="00AC29C7" w:rsidP="00AC29C7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69BD">
        <w:rPr>
          <w:rFonts w:ascii="Times New Roman" w:eastAsia="Calibri" w:hAnsi="Times New Roman" w:cs="Times New Roman"/>
          <w:b/>
          <w:sz w:val="26"/>
          <w:szCs w:val="26"/>
        </w:rPr>
        <w:t>Заказчик</w:t>
      </w:r>
      <w:r w:rsidRPr="00AC29C7">
        <w:rPr>
          <w:rFonts w:ascii="Times New Roman" w:eastAsia="Calibri" w:hAnsi="Times New Roman" w:cs="Times New Roman"/>
          <w:sz w:val="26"/>
          <w:szCs w:val="26"/>
        </w:rPr>
        <w:t xml:space="preserve"> размещает извещение о потребности, поставщик</w:t>
      </w:r>
      <w:r w:rsidR="00E869BD">
        <w:rPr>
          <w:rFonts w:ascii="Times New Roman" w:eastAsia="Calibri" w:hAnsi="Times New Roman" w:cs="Times New Roman"/>
          <w:sz w:val="26"/>
          <w:szCs w:val="26"/>
        </w:rPr>
        <w:t>и подают заявки, затем з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аказчик </w:t>
      </w:r>
      <w:r w:rsidRPr="00AC29C7">
        <w:rPr>
          <w:rFonts w:ascii="Times New Roman" w:eastAsia="Calibri" w:hAnsi="Times New Roman" w:cs="Times New Roman"/>
          <w:sz w:val="26"/>
          <w:szCs w:val="26"/>
        </w:rPr>
        <w:t>рассматривает поступившие предложения и выбирает победителя.</w:t>
      </w:r>
    </w:p>
    <w:p w:rsidR="000E26FD" w:rsidRPr="00146642" w:rsidRDefault="000E26FD" w:rsidP="00146642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146642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Предоставление платных услуг</w:t>
      </w:r>
    </w:p>
    <w:p w:rsidR="00E46BAA" w:rsidRPr="00831FAD" w:rsidRDefault="000E26FD" w:rsidP="000E26FD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26FD">
        <w:rPr>
          <w:rFonts w:ascii="Times New Roman" w:eastAsia="Calibri" w:hAnsi="Times New Roman" w:cs="Times New Roman"/>
          <w:sz w:val="26"/>
          <w:szCs w:val="26"/>
        </w:rPr>
        <w:t xml:space="preserve">Необходимо отметить, что для содействия поставщикам в участии в закупках действуют различные организации. Они проводят консультации, оформляют документы и помогают заключать договоры по 44 и 223 ФЗ. </w:t>
      </w:r>
      <w:proofErr w:type="gramStart"/>
      <w:r w:rsidRPr="000E26FD">
        <w:rPr>
          <w:rFonts w:ascii="Times New Roman" w:eastAsia="Calibri" w:hAnsi="Times New Roman" w:cs="Times New Roman"/>
          <w:sz w:val="26"/>
          <w:szCs w:val="26"/>
        </w:rPr>
        <w:t xml:space="preserve">Так, МКУ «ЦЗРСИ» осуществляет услуги по поиску закупок и по участию в них от имени поставщика, а также предлагает иные услуги в соответствии с </w:t>
      </w:r>
      <w:r w:rsidRPr="001911B8">
        <w:rPr>
          <w:rFonts w:ascii="Times New Roman" w:eastAsia="Calibri" w:hAnsi="Times New Roman" w:cs="Times New Roman"/>
          <w:sz w:val="26"/>
          <w:szCs w:val="26"/>
        </w:rPr>
        <w:t xml:space="preserve">Постановлением Администрации г. Курска от </w:t>
      </w:r>
      <w:r w:rsidR="007B5FAF">
        <w:rPr>
          <w:rFonts w:ascii="Times New Roman" w:eastAsia="Calibri" w:hAnsi="Times New Roman" w:cs="Times New Roman"/>
          <w:sz w:val="26"/>
          <w:szCs w:val="26"/>
        </w:rPr>
        <w:t>0</w:t>
      </w:r>
      <w:r w:rsidRPr="001911B8">
        <w:rPr>
          <w:rFonts w:ascii="Times New Roman" w:eastAsia="Calibri" w:hAnsi="Times New Roman" w:cs="Times New Roman"/>
          <w:sz w:val="26"/>
          <w:szCs w:val="26"/>
        </w:rPr>
        <w:t>5.05.2012 г. № 1408 «Об утверждении положения о платных услугах, предоставляемых МКУ «</w:t>
      </w:r>
      <w:r w:rsidR="001911B8" w:rsidRPr="001911B8">
        <w:rPr>
          <w:rFonts w:ascii="Times New Roman" w:eastAsia="Calibri" w:hAnsi="Times New Roman" w:cs="Times New Roman"/>
          <w:sz w:val="26"/>
          <w:szCs w:val="26"/>
        </w:rPr>
        <w:t>Центр закупок и развития социальных инициатив города Курска»</w:t>
      </w:r>
      <w:r w:rsidRPr="001911B8">
        <w:rPr>
          <w:rFonts w:ascii="Times New Roman" w:eastAsia="Calibri" w:hAnsi="Times New Roman" w:cs="Times New Roman"/>
          <w:sz w:val="26"/>
          <w:szCs w:val="26"/>
        </w:rPr>
        <w:t xml:space="preserve"> субъектам малого и среднего предпринимательства».</w:t>
      </w:r>
      <w:proofErr w:type="gramEnd"/>
    </w:p>
    <w:sectPr w:rsidR="00E46BAA" w:rsidRPr="00831FAD" w:rsidSect="00304188">
      <w:footerReference w:type="default" r:id="rId8"/>
      <w:pgSz w:w="11906" w:h="16838"/>
      <w:pgMar w:top="426" w:right="566" w:bottom="568" w:left="851" w:header="279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188" w:rsidRDefault="00304188" w:rsidP="00304188">
      <w:pPr>
        <w:spacing w:after="0" w:line="240" w:lineRule="auto"/>
      </w:pPr>
      <w:r>
        <w:separator/>
      </w:r>
    </w:p>
  </w:endnote>
  <w:endnote w:type="continuationSeparator" w:id="0">
    <w:p w:rsidR="00304188" w:rsidRDefault="00304188" w:rsidP="003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950447"/>
      <w:docPartObj>
        <w:docPartGallery w:val="Page Numbers (Bottom of Page)"/>
        <w:docPartUnique/>
      </w:docPartObj>
    </w:sdtPr>
    <w:sdtContent>
      <w:p w:rsidR="00304188" w:rsidRDefault="003041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04188" w:rsidRDefault="00304188" w:rsidP="00304188">
    <w:pPr>
      <w:pStyle w:val="a7"/>
      <w:tabs>
        <w:tab w:val="clear" w:pos="4677"/>
        <w:tab w:val="clear" w:pos="9355"/>
        <w:tab w:val="left" w:pos="29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188" w:rsidRDefault="00304188" w:rsidP="00304188">
      <w:pPr>
        <w:spacing w:after="0" w:line="240" w:lineRule="auto"/>
      </w:pPr>
      <w:r>
        <w:separator/>
      </w:r>
    </w:p>
  </w:footnote>
  <w:footnote w:type="continuationSeparator" w:id="0">
    <w:p w:rsidR="00304188" w:rsidRDefault="00304188" w:rsidP="00304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0A28"/>
    <w:multiLevelType w:val="hybridMultilevel"/>
    <w:tmpl w:val="96248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F007B"/>
    <w:multiLevelType w:val="hybridMultilevel"/>
    <w:tmpl w:val="70280EBC"/>
    <w:lvl w:ilvl="0" w:tplc="93361E1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AC"/>
    <w:rsid w:val="000414E6"/>
    <w:rsid w:val="00051088"/>
    <w:rsid w:val="00064430"/>
    <w:rsid w:val="00072693"/>
    <w:rsid w:val="000A789C"/>
    <w:rsid w:val="000E26FD"/>
    <w:rsid w:val="00114CFD"/>
    <w:rsid w:val="00121EA8"/>
    <w:rsid w:val="00130822"/>
    <w:rsid w:val="00134A50"/>
    <w:rsid w:val="00146642"/>
    <w:rsid w:val="001911B8"/>
    <w:rsid w:val="00195719"/>
    <w:rsid w:val="001A3346"/>
    <w:rsid w:val="001C265D"/>
    <w:rsid w:val="001C794A"/>
    <w:rsid w:val="001F712F"/>
    <w:rsid w:val="002241CA"/>
    <w:rsid w:val="00237C1D"/>
    <w:rsid w:val="002538E7"/>
    <w:rsid w:val="00262AB7"/>
    <w:rsid w:val="00273645"/>
    <w:rsid w:val="002B3EEC"/>
    <w:rsid w:val="002E09E7"/>
    <w:rsid w:val="00304188"/>
    <w:rsid w:val="00312D5D"/>
    <w:rsid w:val="003355F7"/>
    <w:rsid w:val="00391E99"/>
    <w:rsid w:val="003C63A3"/>
    <w:rsid w:val="003F74EE"/>
    <w:rsid w:val="004449F3"/>
    <w:rsid w:val="004459BF"/>
    <w:rsid w:val="00481EDE"/>
    <w:rsid w:val="004B556B"/>
    <w:rsid w:val="00521940"/>
    <w:rsid w:val="00572C37"/>
    <w:rsid w:val="006404DC"/>
    <w:rsid w:val="00641FAC"/>
    <w:rsid w:val="0065389B"/>
    <w:rsid w:val="00675845"/>
    <w:rsid w:val="006B546E"/>
    <w:rsid w:val="006E1AA6"/>
    <w:rsid w:val="006E368D"/>
    <w:rsid w:val="007052BE"/>
    <w:rsid w:val="00781CD9"/>
    <w:rsid w:val="00794B00"/>
    <w:rsid w:val="007A6765"/>
    <w:rsid w:val="007B5FAF"/>
    <w:rsid w:val="007C0BD5"/>
    <w:rsid w:val="007D6B5B"/>
    <w:rsid w:val="007F4D4C"/>
    <w:rsid w:val="008036A9"/>
    <w:rsid w:val="00812B58"/>
    <w:rsid w:val="00831FAD"/>
    <w:rsid w:val="00837880"/>
    <w:rsid w:val="008708E4"/>
    <w:rsid w:val="00893FC1"/>
    <w:rsid w:val="008B1C85"/>
    <w:rsid w:val="008C71B1"/>
    <w:rsid w:val="008D73FB"/>
    <w:rsid w:val="008E1E33"/>
    <w:rsid w:val="009012D3"/>
    <w:rsid w:val="00916B07"/>
    <w:rsid w:val="009260C0"/>
    <w:rsid w:val="009312DD"/>
    <w:rsid w:val="00972420"/>
    <w:rsid w:val="00977EEB"/>
    <w:rsid w:val="009A2835"/>
    <w:rsid w:val="009A6068"/>
    <w:rsid w:val="009D5CED"/>
    <w:rsid w:val="00A141C0"/>
    <w:rsid w:val="00A76C3A"/>
    <w:rsid w:val="00AA3F64"/>
    <w:rsid w:val="00AB0D88"/>
    <w:rsid w:val="00AB6702"/>
    <w:rsid w:val="00AC29C7"/>
    <w:rsid w:val="00AD56A6"/>
    <w:rsid w:val="00B608CF"/>
    <w:rsid w:val="00BF0709"/>
    <w:rsid w:val="00C025E6"/>
    <w:rsid w:val="00C0376B"/>
    <w:rsid w:val="00C213CB"/>
    <w:rsid w:val="00C34BA7"/>
    <w:rsid w:val="00C607AF"/>
    <w:rsid w:val="00C72B43"/>
    <w:rsid w:val="00C826F0"/>
    <w:rsid w:val="00C9364B"/>
    <w:rsid w:val="00C95EC7"/>
    <w:rsid w:val="00D05B11"/>
    <w:rsid w:val="00D3202B"/>
    <w:rsid w:val="00D520D5"/>
    <w:rsid w:val="00D76187"/>
    <w:rsid w:val="00D84637"/>
    <w:rsid w:val="00DF2BB4"/>
    <w:rsid w:val="00E020FE"/>
    <w:rsid w:val="00E23E14"/>
    <w:rsid w:val="00E319B6"/>
    <w:rsid w:val="00E37932"/>
    <w:rsid w:val="00E46BAA"/>
    <w:rsid w:val="00E66E08"/>
    <w:rsid w:val="00E869BD"/>
    <w:rsid w:val="00EB60D2"/>
    <w:rsid w:val="00F50356"/>
    <w:rsid w:val="00F600DB"/>
    <w:rsid w:val="00F76182"/>
    <w:rsid w:val="00FB475C"/>
    <w:rsid w:val="00FD3DE9"/>
    <w:rsid w:val="00FD7758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D5"/>
    <w:pPr>
      <w:ind w:left="720"/>
      <w:contextualSpacing/>
    </w:pPr>
  </w:style>
  <w:style w:type="table" w:styleId="a4">
    <w:name w:val="Table Grid"/>
    <w:basedOn w:val="a1"/>
    <w:uiPriority w:val="59"/>
    <w:rsid w:val="0070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188"/>
  </w:style>
  <w:style w:type="paragraph" w:styleId="a7">
    <w:name w:val="footer"/>
    <w:basedOn w:val="a"/>
    <w:link w:val="a8"/>
    <w:uiPriority w:val="99"/>
    <w:unhideWhenUsed/>
    <w:rsid w:val="0030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D5"/>
    <w:pPr>
      <w:ind w:left="720"/>
      <w:contextualSpacing/>
    </w:pPr>
  </w:style>
  <w:style w:type="table" w:styleId="a4">
    <w:name w:val="Table Grid"/>
    <w:basedOn w:val="a1"/>
    <w:uiPriority w:val="59"/>
    <w:rsid w:val="00705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4188"/>
  </w:style>
  <w:style w:type="paragraph" w:styleId="a7">
    <w:name w:val="footer"/>
    <w:basedOn w:val="a"/>
    <w:link w:val="a8"/>
    <w:uiPriority w:val="99"/>
    <w:unhideWhenUsed/>
    <w:rsid w:val="00304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Черкашина</dc:creator>
  <cp:lastModifiedBy>Черкашина</cp:lastModifiedBy>
  <cp:revision>88</cp:revision>
  <cp:lastPrinted>2022-10-31T07:07:00Z</cp:lastPrinted>
  <dcterms:created xsi:type="dcterms:W3CDTF">2022-10-28T05:55:00Z</dcterms:created>
  <dcterms:modified xsi:type="dcterms:W3CDTF">2022-11-01T12:54:00Z</dcterms:modified>
</cp:coreProperties>
</file>